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86"/>
        <w:gridCol w:w="1367"/>
        <w:gridCol w:w="1509"/>
        <w:gridCol w:w="1134"/>
        <w:gridCol w:w="1275"/>
        <w:gridCol w:w="1134"/>
        <w:gridCol w:w="1175"/>
        <w:gridCol w:w="1093"/>
        <w:gridCol w:w="1276"/>
        <w:gridCol w:w="2126"/>
      </w:tblGrid>
      <w:tr w:rsidR="003B6ED4" w:rsidRPr="003B6ED4" w:rsidTr="006B68C6">
        <w:trPr>
          <w:trHeight w:val="39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 реализации</w:t>
            </w:r>
          </w:p>
        </w:tc>
      </w:tr>
      <w:tr w:rsidR="003B6ED4" w:rsidRPr="003B6ED4" w:rsidTr="006B68C6">
        <w:trPr>
          <w:trHeight w:val="39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развития территории города Усть-Каменогорска на 2016-2020 годы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Отчетный период    </w:t>
            </w: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2017 год</w:t>
            </w:r>
          </w:p>
        </w:tc>
      </w:tr>
      <w:tr w:rsidR="003B6ED4" w:rsidRPr="003B6ED4" w:rsidTr="006B68C6">
        <w:trPr>
          <w:trHeight w:val="39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Утвержден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решением сессии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Усть-Каменогорского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городского маслихата от 26 декабря 2017 года № 25/3-VI</w:t>
            </w:r>
          </w:p>
        </w:tc>
      </w:tr>
      <w:tr w:rsidR="003B6ED4" w:rsidRPr="003B6ED4" w:rsidTr="006B68C6">
        <w:trPr>
          <w:trHeight w:val="39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Государственный орган </w:t>
            </w: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ГУ "Отдел экономики и бюджетного планирования города Усть-Каменогорска"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BA0A1B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Информация о ходе </w:t>
            </w:r>
            <w:bookmarkStart w:id="0" w:name="_GoBack"/>
            <w:bookmarkEnd w:id="0"/>
            <w:r w:rsidR="003B6ED4"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 измерения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бюджетной 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об исполнении</w:t>
            </w:r>
          </w:p>
        </w:tc>
      </w:tr>
      <w:tr w:rsidR="003B6ED4" w:rsidRPr="003B6ED4" w:rsidTr="006B68C6">
        <w:trPr>
          <w:trHeight w:val="12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базовое (исходное) значение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Региональная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1. Обеспечение стабильного роста экономики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Темп роста налоговых и неналоговых поступлений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по исполнению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исполнен. За 2016 год поступило в контингенте 40997,3 млн. тенге, за 2017 год - 45178,6 млн. тенге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новых рабочих мест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еста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Ввод в эксплуатацию основных фондов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исполнен. Из общего объема инвестиций за 2017 год 57678,8 млрд. тенге - инвестиции в основные средства (машины, оборудование, инструменты)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19 870,0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57 678,8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2. Развитие приоритетных секторов промышленности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выпуска продукции обрабатывающей промышленности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 из-за вхождения в состав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2-х его дочерних предприятий (ТОО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Ремсервис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Транс»), в результате их объемы производства перешли в разряд направляемых на внутреннее потребление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металлургической промышленности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производства готовых металлических изделий, кроме машин и оборудования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снижения объемов производства металлоконструкций на ТОО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Гидросталь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производства продукции машиностроения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произведено продукции на 75,1 млрд. тенге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производства прочей неметаллической минеральной продукции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произведено продукции на 3,9 млрд. тенге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производства продуктов химической продукции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снижения потребности и объемов производства кислорода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производства продукции легкой промышленности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снижения заказов ПКФ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Рауан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производства основных фармацевтических продуктов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 за счет снижения заказов и производства малыми предприятиями</w:t>
            </w:r>
            <w:proofErr w:type="gramEnd"/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объема производства на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(свинец рафинированный, медь катодная)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162 799,5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из-за понижения курса доллара объемные показатели производства в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денежном выражении снизились в сравнении с 2016 годом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на АО "УМЗ" (урановая, бериллиевая, танталовая, ниобиевая продукция)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42 674,0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35 547,8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объемов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производста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 АО У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ТМК (титан губчатый, титановый сплав)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3 343,6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7 110,0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выпуска готовых металлических конструкций на ТОО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завод металлоконструкций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Имсталькон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частично, из-за сокращения спроса уменьшился объем произведенной продукции с 6,9 тыс. тонн до 5,7 тыс. тонн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автомобилей на АО "Азия Авто"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49 800,0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42 335,6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42 335,6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27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ТОО «Мелисса» - «Приобретение оборудования по производству OSB-панелей"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 метры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3 463,0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частично, в связи с произошедшем в апреле 2017 года пожаром производство приостановлено, для выхода из ситуации АО «НК «СПК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Ертыс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вошел в состав предприятия, завод переименован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Усть-Каменогорский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лесоперерабатывающий комбинат» «Завод по производству OSB плит». В настоящее время на предприятии ведутся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</w:t>
            </w:r>
            <w:r w:rsidR="00EC4B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становительные работы.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процента загрузки предприятий строительной отрасли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на  ТОО «Ульба-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ФторКомплекс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тонн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579 146,4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предприятие ликвидировано в связи с вхождением объемов производства в состав АО "УМЗ"</w:t>
            </w:r>
            <w:proofErr w:type="gramEnd"/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объемов производства на ПКФ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Рауан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частично, из-за сокращения спроса количество комплектов одежды уменьшилось с 65,5 тыс. ед. до 45,1 тыс. ед.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Выпуск готовой продукции (препарата таган-сорбент) для медицинских целей и населения на ТОО «Сорбент»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произведено 112 тыс. шт. препаратов за 2017 год, 98,4 тыс.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за 2016 год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258 617,1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84 993,4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84 993,4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258 617,1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84 993,4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84 993,4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3. Стимулирование притока инвестиций в экономику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9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инвестиций в основной капитал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Инвестиции в основной капитал на душу населения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265 907,0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Темп роста инвестиций в основной капитал на душу населения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инвестиции за 2016 год - 80,4 млрд. тенге, численность населения - 333 тыс. чел, за 2017 год инвестиции 115,6 млрд. тенге, численность населения - 335,7 тыс. чел</w:t>
            </w:r>
            <w:proofErr w:type="gramEnd"/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внешних инвестиций в общем объеме инвестиций в основной капитал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из общего объема 115,6 млрд. тенге внешние инвестиции 7,8 млрд. тенге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Доля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инновационно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активных предприятий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автозавода полного цикла и технопарка по производству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автокомпонентов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АО «Азия Авто Казахстан»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Инвестиции в производство АО "УМЗ"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2 483,2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проекта "Замена флотационных машин РИФ-25, РИФ -16 в цинково-пиритном цикле флотации секции № 1 (1,2,3 ряд) ОФ ЗГОК с целью приведения мощностей флотации и повышения технологических показателей обогащения" на ТОО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Казцинк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ОЭиБП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11 402,9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11 402,9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завода по производству базальтового утеплителя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Техстройинновация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индустриальной зоне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реализация объектов перенесена из-за отсутствия подведенной инженерной инфраструктуры для размещения производства в Зоне развития бизнеса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домостроительного комбината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Нуртобе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в индустриальной зоне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завода по производству топливных брикетов из отходов деревообработки производительностью 20 тыс. тонн в год ТОО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Нурбилдинг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в индустриальной зоне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завода с внедрением новейшего оборудования по переработке масличных культур (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рапс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одсолнечник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производительностью 200 тонн в сутки в сырье ТОО «ТАГ-ТИН»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предприятием получен кредит в сумме 450 млн. тенге через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АгроКредитнуюКорпорацию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приобретения оборудования, в конце сентября 2017 года получено оборудование из КНР. Монтаж оборудования завершен в декабре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2017 года. В соответствии с планом реализации проекта,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введен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эксплуатацию в декабре 2017 года. Производство продукции планируется начать с 2018 года.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14 550,1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14 550,1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53 716,0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14 550,1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14 550,1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4. Обеспечение продовольственной безопасности города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сельского хозяйства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произведено продукции на 17 млрд. тенге 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продукции животноводства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произведено продукции на 4,2 млрд. тенге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поголовья крупного рогатого скота и мелкого рогатого скота в организованных хозяйствах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КРС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связи с увеличением доли в домашних хозяйствах.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МРС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связи с увеличением доли в домашних хозяйствах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поголовья крупного рогатого скота и мелкого рогатого скота участвующих в породном преобразовании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КРС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в связи с бруцеллезом в крестьянском хозяйстве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Айка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поголовье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участующее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породном преобразовании резко сократилось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продукции растениеводства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произведено продукции на 12,7 млрд. тенге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Завершение строительства рынка по забою  и продаже скота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Ті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 базары» с убойным цехом и откормочной площадки ИП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Локотош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В.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убойного цеха КХ «Родничок»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сроки реализации проекта перенесены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сетей канализации и водопровода в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кх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«Родничок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Завершение строительства цеха, приобретение и монтаж оборудования по фасовке меда в КХ «Пасека»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 акватории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Усть-Каменогорского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водохранилища форелевого садкового производства с полным циклом воспроизводства молоди, выращивания  и переработки до 300 тонн товарной рыбы и 75 тонн красной икры  в ТОО «Авиатор 2000»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из-за отсутствия инвестора проект пока не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эпизоотических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473 011 015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идентификации домашних животных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473 010 000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маслозавода по переработке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масляничных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 с ежегодным производством до 16,9 тыс. тонн масла, 15,6 тыс. тонн жмыха, 12,8 тыс. тонн шрота ТОО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ВостокАгрохолдинг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Выращивание топинамбура с получением гранул концентрированных кормов,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биоэтанола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моносахаров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при выходе на проектную мощность с выпуском 37 тыс. кормов ежегодно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Зеленстрой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Z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из-за отсутствия инвестора проект пока не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тепличного комплекса с проектной мощностью по выращиванию 550 тонн огурцов и 450 тонн томатов ежегодно ТОО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АлижанАгроТрейд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из-за отсутствия инвестора проект пока не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оросительных систем на площади 140 га в КХ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Екимбаев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из-за отсутствия инвестора проект пока не реализован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1 016,6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104,8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895,0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5. Динамичное развитие сферы внутренней торговли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Индекс физического объема розничной торговли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объем розничной торговли составил 446,3 млрд. тенге. 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меморандумов о взаимном сотрудничестве по вопросам стабилизации цен с производителями, поставщиками 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реализаторами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основных продовольственных товаров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торгового объекта в г.  Усть-Каменогорск, площадью не менее 2000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открыты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Торгово-выставочный центр по ул. Севастопольская, развлекательный комплекс по пр. К. Маркса,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Технодом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 в районе пр. Абая, торговый дом "Металлург" (здание бывшего ночного клуба "Большевик")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торговых объектов товаропроизводителями в целях реализации продукции без посредников в г. Усть-Каменогорск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  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открылся фирменный магазин ТОО "Восток-Молоко" по ул. Тимирязева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6. Развитие индустрии туризма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Увеличение количества обслуженных посетителей местами размещения по внутреннему туризму (резиденты), в сравнении с предыдущим годом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Увеличение количества обслуженных посетителей местами размещения по въездному туризму (нерезиденты), в сравнении с предыдущим годом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Увеличение количества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представленных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койко-суток, в сравнении с предыдущим годом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Открытие  гостиницы с президентским номером и сети ресторанов по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ермитина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Дворца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бракосочетанияна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600 мест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проект реализован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1 620,8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Социальная сфера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7. Повышение качества общего среднего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23)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Calibri" w:eastAsia="Times New Roman" w:hAnsi="Calibri" w:cs="Calibri"/>
                <w:noProof/>
                <w:color w:val="000000"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460266F" wp14:editId="77AF2931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0</wp:posOffset>
                      </wp:positionV>
                      <wp:extent cx="180975" cy="266700"/>
                      <wp:effectExtent l="0" t="0" r="0" b="0"/>
                      <wp:wrapNone/>
                      <wp:docPr id="2" name="Пол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margin-left:83.25pt;margin-top:0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0"/>
            </w:tblGrid>
            <w:tr w:rsidR="003B6ED4" w:rsidRPr="003B6ED4" w:rsidTr="003B6ED4">
              <w:trPr>
                <w:trHeight w:val="1170"/>
                <w:tblCellSpacing w:w="0" w:type="dxa"/>
              </w:trPr>
              <w:tc>
                <w:tcPr>
                  <w:tcW w:w="8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B6ED4" w:rsidRPr="003B6ED4" w:rsidRDefault="003B6ED4" w:rsidP="003B6ED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  <w:r w:rsidRPr="003B6ED4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  <w:t>Целевой индикатор. Обеспечение функционирования организаций общего среднего образования согласно государственному нормативу сети</w:t>
                  </w:r>
                </w:p>
              </w:tc>
            </w:tr>
          </w:tbl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исполнен. В городе функционирует 46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школ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которые соответствуют государственному нормативу сети.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Охват детей инклюзивным образованием от общего количества детей с ограниченными возможностями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учащихся, успешно (отлично/хорошо) освоивших образовательные программы среди выпускников школ по естественно-математическим дисциплинам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исполнен. Всего выпускников 9-х и 11-х классов 4138. Освоивших образовательные учебные программы  по ЕМД от общего количества выпускников на «отлично» - 906, освоивших образовательные учебные программы  ЕМД от общего количества выпускников на «хорошо» - 1984.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высококвалифицированных педагогических работников, имеющих высшую и первую категории от общего количества педагогов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Городские конкурсы, олимпиады, форумы, акции   среди  учащихся по естественно-математическим дисциплинам  школ города в рамках проекта "Инновационная площадка", "Наши надежды".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было проведено 10 конкурсов с участием учителей и учащихся.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профессиональных конкурсов, фестивали, ярмарки педагогических идей, предметных олимпиад среди учителей  города Усть-Каменогорска в рамках проекта "Инновационная площадка" и "Успешный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учитель-успешный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ученик"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было проведено 15 конкурсов с участием учителей и учащихся.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 учебников и учебно-методических комплексов (казахский, русский, английский)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464 005 015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учащихся общеобразовательных организаций образования бесплатными учебниками и учебно-методическими комплексами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464 005 015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приобретено учебников и учебно-методических комплексов нового поколения для общеобразовательных  школ в количестве 257321 экземпляров.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464 005 015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школы с государственным языком обучения на 1000 мест по улице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Уалиева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районе поз. 37/2 в 19 жилом районе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.У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сть-Каменогорска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ВКО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467 024 015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 частично, ввод в эксплуатацию планируется в 2018 году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467 024 032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Строительство школы с государственным языком обучения на 1000 мест в п.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Усть-Каменогорска ВКО (без наружных инженерных сетей)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467 024 015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 частично, ввод в эксплуатацию планируется в 2018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году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467 024 015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школ предметными кабинетами, учебным оборудованием и инвентарем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464 067 015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было приобретено 6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химии, 6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биологии, 1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физики, 2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каб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ЛМК.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Приобретение и обновление парка школьных автобусов для подвоза детей из населенных пунктов, где нет школ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464 067 015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464 067 015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приобретен 1 автобус для КГУ "Средняя школа № 33"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Усть-Каменогорска, для подвоза учащихся.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Оснащение школьных столовых и пищеблоков технологическим оборудованием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464 067 015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бесплатным горячим питанием учащихся школ из малообеспеченных семей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 2017 году обеспечено горячим питанием 3604 ребенка из числа малообеспеченных, детей сирот, опекаемых.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1 199,1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317,4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766,6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8. Обеспечение охвата детей качественным дошкольным воспитанием и обучением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Охват детей (3-6) дошкольным воспитанием и обучением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исполнен. Охвачено 12028 детей дошкольного возраста всеми дошкольными организациями.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том числе за счет развития сети частных дошкольных организаций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исполнен. Охвачено 4225 детей дошкольного возраста в частных дошкольных организациях.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2 273,9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464 040 015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1 462,4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464 009 015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концессионного проекта "Строительство  комплекса 5 детских садов в г. Усть-Каменогорске Восточно-Казахстанской области в рамках  государственно-частного партнерства"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 счет собственных средств инвестора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реализация проекта перенесена на 2018 год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частного детского сада на дому на 100 мест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 счет собственных средств инвестора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4 145,8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3 781,5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3 781,3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3 736,5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3 736,3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9. Развитие государственной молодежной политики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Уровень удовлетворенности населения в возрасте 14-29 лет реализацией государственной молодежной политикой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молодежных мероприятий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456 003 015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было организовано  и проведено более 300 мероприятий с охватом более 70 тысяч  молодых людей. Организованы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имиджевые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мероприятия, такие как «Студенческая весна», «Таланты первокурсников», «Благотворительный молодежный бал», акция «Я патриот Казахстана»,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Oskemen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EXPO FEST 2017», фестивали КВН,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Мерейлі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отбасы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форум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Нурлы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болашак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». </w:t>
            </w:r>
          </w:p>
        </w:tc>
      </w:tr>
      <w:tr w:rsidR="003B6ED4" w:rsidRPr="003B6ED4" w:rsidTr="006B68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Молодежного центра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Размещение социального заказа неправительственными организациями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было реализовано 3 проекта государственного социального заказа, направленных на решение вопросов различных категорий молодежи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52,2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10. Улучшение здоровья населения и демографической ситуации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Рост численности населения к предыдущему году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Снижение материнской смертности, на 100 тыс.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Снижение младенческой смертности, на 1000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родившихся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живыми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Снижение смертности от злокачественных заболеваний, на 100 тыс. населения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 Распространенность вируса иммунодефицита человека в возрастной группе 15-49 лет, в пределах 0,2-0,6%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Снижение смертности от туберкулеза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случаев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и эксплуатация многопрофильной больницы на 300 коек в г. Усть-Каменогорск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за счет собственных средств инвестора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исполнен, срок реализации перенесен. По ТЭО получено положительное заключение  государственной экспертизы, АО «РЦ ГЧП» выполнена корректировка конкурсной документации и договора концессии.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Ведется поиск потенциального инвестора</w:t>
            </w:r>
          </w:p>
        </w:tc>
      </w:tr>
      <w:tr w:rsidR="003B6ED4" w:rsidRPr="003B6ED4" w:rsidTr="006B68C6">
        <w:trPr>
          <w:trHeight w:val="1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Популяризаця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здорового образа жизни и повышение активности населения в прохождении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скрининговых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специалистами службы формирования здорового образа жизни совместно с ЛПУ города проведено – 34 тыс. мероприятий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охватом – 138 тыс. человек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Внедрение международных программ снижения материнской и младенческой смертности, рекомендованных Всемирной организацией здравоохранения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действуют мобильные бригады по оказанию неотложной медицинской помощи беременным, роженицам, родильницам и детям (акушер-гинеколог, реаниматолог, хирург, педиатр, неонатолог).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взаимодействия между акушерско-гинекологической и педиатрической службами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Улучшение обеспечения лекарственными средствами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действует Меморандум о сотрудничестве по вопросам сдерживания роста цен на лекарственные средства и изделия медицинского назначения, особо важных для населения лекарственных препаратов, 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Обучение и повышение квалификации медицинского персонала лечебных учреждений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25 врачей областного центра прошли обучение в лучших европейских клиниках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Раннее выявление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онкопатологии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для увеличения 5 летней выживаемости и снижения смертности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функционируют  19 онкологических, 17маммологических кабинетов, 3 проктологических кабинетов, 88 смотровых кабинетов.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Увеличение охвата населения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флюрографическими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осмотрами, выявление заболевания на ранних стадиях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УЗ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на 2017 год охват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флюорообследованием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группы риска составил 169 тыс. пациентов. 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11. Повышение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эффективности мер содействия занятости населения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Количество созданных рабочих мест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4 965,0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5 894,0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трудоустроенных из числа лиц, обратившихся по вопросам трудоустройства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обратилось по вопросу трудоустройства 9146 чел, оказано мер по трудоустройству 7152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чел.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Оплачиваемые общественные работы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направлено на общественные работы из числа безработных граждан 487 чел. 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Профессиональная подготовка и переподготовка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451 002 101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направлены на профессиональное обучение 1362 человека, завершили обучение 1292 человека.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451 002 101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Оплата услуг за участие в молодежной практике и трудоустройство на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абочие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места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451 002 102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трудоустроены на социальные рабочие места 282 человека,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- на Молодежную практику направлено 450 выпускников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451 002 102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451,2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227,1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130,1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12. Обеспечение социальной защиты уязвимых категорий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трудоспособных из числа получателей адресной социальной помощи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EC4B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АСП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назначена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120 чел., из них 35 - трудоспособные (6-безработные, 9-работающие, 20-заняты уходом за детьми до 7 лет)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Удельный вес лиц, охваченных оказанием специальных социальных услуг (в общей численности лиц, нуждающихся в их получении)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лиц, охваченных специальными социальными услугами, предоставляемыми субъектами частного сектора (в том числе, неправительственными организациями)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адресной социальной помощи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оказана 29 семьям в количестве 120 чел.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жилищной помощи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451 006 000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оказана 619 семьям в количестве 1064 чел. 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Выплата государственного пособия на детей до 18 лет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451 016 015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получателями являлись 719 детей.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451 015 015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получили путевки и прошли оздоровление 2893 чел.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Оказание услуг по адаптации лиц, не имеющих определенного места жительства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ОЗиСП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451 013 015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прошли реабилитацию 369 человек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13. Сохранение отечественной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Среднее число посетителей (посещений) организаций культуры на 1000 человек: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Среднее число посетителей (посещений) организаций культуры, библиотек на 1000 человек: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зрелищных мероприятий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проведено  79  социально-значимых, культурно-массовых мероприятий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клуба "Онер"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455 003 015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проведено  70 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мероприятии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охват населения составил  10 420 человек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Содержание клуба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Меновное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функционирования городских библиотек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455 006 015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проведено  1199 мероприятий с участием  28058  человек, число читателей - 51 896  человек, выдано книг - 706 тыс. экз.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14. Развитие массового спорта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Охват граждан, занимающихся физической культурой и спортом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процент охвата систематически занимающихся физической культурой и спортом в 2017 году составил 106 747 человек (31,8%). 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Охват детей и подростков, занимающихся физической культурой и спортом в детско-юношеских спортивных школах, детско-юношеских клубах физической подготовки от общей численности детей и подростков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охват детей и подростков в ДЮСШ составляет 1998 детей (КГУ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Комплексная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ДЮСШ – 678; КГУ по игровым видам – 850; КГУ национальные и неолимпийские виды - 470).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массовых и национальных видов 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465 005 015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за 2017 год проведено 219 спортивно-массовых мероприятий.</w:t>
            </w:r>
          </w:p>
        </w:tc>
      </w:tr>
      <w:tr w:rsidR="003B6ED4" w:rsidRPr="003B6ED4" w:rsidTr="006B68C6">
        <w:trPr>
          <w:trHeight w:val="18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спортивных мероприятий на городском уровне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465 006 015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в общеобразовательных школах города посещают уроки физической культуры 33581 детей, из них занимаются физической культурой и спортом в школьных секциях более 5000 детей. А также в ДЮСШ, ДЮСШОР и спортивных клубах более 6000 детей. 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и участие членов сборных команд города по различным видам спорта на областных спортивных соревнованиях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465 007 015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сборные команды города Усть-Каменогорска по различным видам спорта приняли участие в 22 чемпионатах, 16 турнирах, 9 первенствах.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542,8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15. Обеспечение развития государственного языка и повышения уровня владения иностранными языками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 Доля взрослого населения, владеющего государственным языком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взрослого населения владеющего английским языком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взрослого населения, владеющего тремя языками (государственным, русским, английским)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мероприятий по развитию языков в рамках реализации государственной программы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проведено 10 мероприятий 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КГУ «Школа возрождения языков и культуры народов Восточного Казахстана», расширение возможностей обучения языкам взрослого населения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455 007 015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16. Обеспечение единства нации и  укрепление межэтнического и межконфессионального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24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 Доля населения, положительно оценивающего государственную политику в сфере  межконфессиональных отношений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исполнен. В 2017 году по городу реализована услуга на тему «Мероприятии по профилактике религиозного экстремизма и терроризма».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рамках данной услуги проведены 8 обучающих семинар-тренингов для различных аудитории, с привлечением известных теологов.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Политику в сфере межконфессиональных отношений позитивным образом оценили 82,4% . 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Количество абонентов, подключенных к отечественному телевещанию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97 534,0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Охват населения отечественным телевещанием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ОКиРЯ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0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проведению государственной информационной политики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456 002 015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информационное поле города представлено 41 действующими средствами массовой информации. 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 общего количества действующих СМИ 29  печатные (из них 5 газет выполняют государственный заказ) и 9 электронные 4 из них осуществляют государственный заказ).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Работает официальный сайт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города. В целях  информирования населения активно используются сайты: yk.kz,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yk-news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ustinka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live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16news.kz. 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Общественная безопасность и правопорядок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17. Обеспечение надежного правопорядка на улицах и безопасности дорожного движения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Удельный вес преступлений, совершенных на улицах</w:t>
            </w: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УВД,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Удельный вес преступлений, совершенных несовершеннолетними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УВД,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Удельный вес преступлений, совершенных ранее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совершавшими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УВД,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Снижение числа погибших в ДТП на 100 пострадавших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УВД,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Целевой индикатор. Снижение доли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наркопреступлений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числа зарегистрированных общеуголовных преступлений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УВД,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458 021 015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установлены светофорные объекты на 7-ми перекрестках города, в 5-ти местах - светодиодные дорожные знаки на нерегулируемых пешеходных переходах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Работа Общественного Совета по профилактике правонарушений при КГП "Управление делами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акимата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пределах выделенных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были проведены целенаправленные оперативно-профилактические 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антиграбежные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мероприятия, такие как «Квартира», «Розыск», «Подросток», «Правопорядок», «Здоровье», «Безопасная дорога», «Автобус», «Кару», «Допинг», «Участок» и другие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сполнен, продолжена практика еженедельных мероприятий «Профилактика» с отработкой малосемейных общежитий, увеселительных заведений, дачных массивов. Проведение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целенаправленных оперативно-профилактических  мероприятий позволило снизить уровень преступности на 5,9% (с 9 365 до 8 808 преступлений), одновременно с этим повысить раскрываемость преступлений средней тяжести на 2,4% (с 44,4% до 46,8%), грабежей –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3,3% (с 76,5% до 79,8%).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ходе реализации принципа «нулевой терпимости» участковыми инспекторами полиции местной полицейской службы было выявлено и  пресечено  21,7 тысяч административных правонарушений.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Развитие базового оборудования и техническая поддержка аппаратного комплекса и систем Центра оперативного управления 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УВД г. Усть-Каменогорска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3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межведомственной комплексной операции "Подросток", включающей в себя оперативно-профилактические мероприятия «Группа», «Здоровье», «Всеобуч», «Быт» и др.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УВД, Отдел образования, Управление здравоохранения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оперативно-профилактического мероприятия «Мигрант» по выявлению нарушений миграционного законодательства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целенаправленных оперативно-профилактических мероприятий и специальных операций по раскрытию «имущественных» преступлений «Квартира»,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Антиграбеж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», «Автомобиль», «Скотокрад» и т.д.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комплекса мероприятий, направленных на первичную профилактику наркомании, формирование антинаркотического иммунитета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разъяснительной работы с «трудными» подростками инспекторами детских комнат милиции по недопущению употребления и распространения наркотиков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выявления фактов торговли и употребления наркотиков в результате проведения целенаправленных оперативно-профилактических мероприятий и специальных операций.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Реализация оперативно-розыскных и специальных мероприятий по предупреждению, выявлению и пресечению деятельности организованных преступных гру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пп в сф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ере наркобизнеса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комплекса мероприятий по предупреждению и пресечению правонарушений, создающих реальную угрозу безопасности дорожного движения, укрепление дисциплины участников дорожного движения.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строевых подразделений дорожно-патрульной полиции средствами фиксации нарушений ПДД и другим специальным оборудованием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УВД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18. Обеспечение защищенности территорий от негативных чрезвычайных ситуаций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Уровень  обеспеченности инфраструктуры противодействия  чрезвычайным ситуациям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берегоукрепительных работ, углубление, спрямление русел рек на потенциально-опасных местах возникновения паводков и наводнении.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458 107 000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проведено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берегоукрепление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реки Ульбы протяженностью 230 м, очистка, углубление, очистка  русел ручьев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Бражий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Жукова, Безымянный, Безымянный ключ, отвод  ручьев микрорайоне КШТ</w:t>
            </w:r>
          </w:p>
        </w:tc>
      </w:tr>
      <w:tr w:rsidR="003B6ED4" w:rsidRPr="003B6ED4" w:rsidTr="006B68C6">
        <w:trPr>
          <w:trHeight w:val="21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Информирование общественности и населения о местных тенденциях развития угроз, принимаемых мерах, системах и методах оповещения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на официальном сайте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 в разделе ЧС размещены памятки о действиях при возникновении ЧС, информационные ролики,  даны разъяснения на отчетных встречах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города, организова</w:t>
            </w:r>
            <w:r w:rsidR="0057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 выступления на областном телевидении, проведено 2 семинара с участием Бюро ООН по снижению рисков бедствий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Открытие пожарного поста в селе Новотроицкое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452 012 000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исполнен, реализация проекта перенесена на 2018 год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Инфраструктура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19. Обеспечение населения доступными и качественными услугами связи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Плотность фиксированных линий телефонной связи на 100 жителей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Плотность пользователей Интернет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нет данных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Уровень цифровой грамотности населения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27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Проведение модернизации и реконструкции телефонной связи через модернизацию существующих сетей, внедрение современных технологий внедрения широкополосного доступа к сети Интернет с использованием современных технологий, таких как: CDMA/EVDO, FTTH, 3G и 4G, беспроводных сетей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WiFi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модернизация связи с переходом на сети нового поколения NGN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АО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Казахтелеком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перенесен на 2018-2019 год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Организация обучения населения и бизнеса цифровой грамотности с использованием современных ИКТ и получению государственных услуг в электронной форме, в том числе в центрах занятости населения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20. Содействие эффективному развитию строительной отрасли и обеспечение доступным жильем населения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Общая площадь введенных в эксплуатацию жилых зданий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 м.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184 210,0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185 654,0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202 134,0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в 19 жилом районе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Восточно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-Казахстанской области (поз. 49, 63,60 по генплану города). Жилой дом позиция 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квартиле 19 жилого района г. Усть-Каменогорска ВКО (жилой дом позиция 119)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277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3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многоэтажного жилого дома  в 19 жилом районе г. Усть-Каменогорска ВКО. Жилой дом поз. 47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7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102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многоэтажного жилого дома  в 19 жилом районе г. Усть-Каменогорска ВКО. Жилой дом поз. 37/2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273</w:t>
            </w:r>
          </w:p>
        </w:tc>
      </w:tr>
      <w:tr w:rsidR="003B6ED4" w:rsidRPr="003B6ED4" w:rsidTr="006B68C6">
        <w:trPr>
          <w:trHeight w:val="174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многоэтажного жилого дома  в 19 жилом районе г. Усть-Каменогорска ВКО. Жилой дом поз. 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Малосемейное общежитие молодым специалистам в 19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Усть-Каменогорска Восточно-Казахстанской области (позиция 33/1)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 (поз. 51, 53, 54, 54/1, 58, 58/1, 58/2 по генплану города). Жилой дом поз.54/1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май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 (поз. 51, 53, 54, 54/1, 58, 58/1, 58/2 по </w:t>
            </w: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генплану города). Жилой дом поз.54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276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597,8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107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 (поз. 51, 53, 54, 54/1, 58, 58/1, 58/2 по генплану города). Жилой дом поз.58/2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1 027,0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274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жилого дома с инженерными сетями в 19 жилом районе г. Усть-Каменогорска ВКО (жилой дом позиция 30А)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264,7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квартиле 19 жилого района г. Усть-Каменогорска ВКО (жилой дом позиция 120)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2019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квартиле 19 жилого района г. Усть-Каменогорска ВКО (жилой дом позиция 120/1)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272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квартиле 19 жилого района г. Усть-Каменогорска ВКО (жилой дом позиция 120/2)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июнь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г. Усть-Каменогорска ВКО (жилой дом позиция 121)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113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многоэтажных жилых домов с инженерными сетями в 19 жилом районе г. Усть-Каменогорска ВКО (поз.117-118, 123 по генплану города). Жилой дом позиция 117-118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1 063,4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ВКО. Жилой дом поз. 60а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ВКО. Жилой дом поз. 61/1а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ВКО. Жилой дом поз. 63а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446,8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 (поз. 51, 53, 54, 54/1, 58, 58/1, 58/2 по генплану города). Жилой дом поз.58/1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9-этажного жилого дома в 19 жилом районе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ВКО поз.58/2А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119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многоэтажных жилых домов с инженерными сетями в 3 квартале 19 жилого района города </w:t>
            </w:r>
            <w:proofErr w:type="spellStart"/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Усть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Каменогорска</w:t>
            </w:r>
            <w:proofErr w:type="spellEnd"/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Восточно-Казахстанской области (Жилой дом позиция 122)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август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Строительствомногоэтажного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дома. Жилой дом поз. 51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04.07.2017 г., № 096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Строительствомногоэтажного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жилого дома. Жилой дом поз. 53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467 003 015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11.09.2017 г., № 155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жилого дома с инженерными сетями в 19 жилом районе города Усть-Каменогорска Восточно-Казахстанской области (поз.34,37/2 по генплану города). Инженерные сети и благоустройство к жилому дому поз.37/2"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июнь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комплекса жилых домов с инженерными сетями в 19 жилом районе города Усть-Каменогорска Восточно-Казахстанской области (позиций 51, 53, 54, 54/1, 58, 58/1, 58/2 по генплану города). Инженерные сети и благоустройство к жилому дому позиции 58/2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Инженерно-коммуникационная инфраструктура от магистрали Южная до проспекта К. Маркса города Усть-Каменогорска Восточно-</w:t>
            </w: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Казахстанской области (проспект И.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109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Инженерно-коммуникационная инфраструктура от магистрали Южная до проспекта К. Маркса города Усть-Каменогорска Восточно-Казахстанской области (между проспектом К.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Сатпаева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проспектом И.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ноябрь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сетей и благоустройство к жилым домам позиций 51, 53 в 19 жилом районе г. Усть-Каменогорск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275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жилых домов с инженерными сетями в 19 жилом районе города Усть-Каменогорска ВК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позиций 49, 63, 60 по генплану города ). Инженерные сети и благоустройство к жилому дому позиции 49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жилых домов с инженерными сетями в 19 жилом районе города Усть-Каменогорска ВКО (позиций 49, 63,60 по генплану города). Инженерные сети и благоустройство к жилому дому позиции 60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жилых домов с инженерными сетями в 19 жилом районе города Усть-Каменогорска ВКО (позиций 49, 63, 60 по генплану города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Инженерные сети и благоустройство к жилому дому позиции 63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сетей и благоустройство к жилым домам позиция 30 в городе Усть-Каменогорске ВКО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июль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внутриквартальных сетей 3-го квартала 19 жилого района города Усть-Каменогорска ВК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микрорайона между проспектами Ильяса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проспектом Карла Маркса)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внутриквартальных сетей 4-го квартала 19 жилого района города Усть-Каменогорска  (микрорайона между проспектами Ильяса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проспектом Карла Маркса). Сети водопровода, канализации, теплоснабжения, электроснабжения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21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114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3-го квартала 19 жилого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раойна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Усть-Каменогорска (1 очередь строительства). Генеральный план и электроосвещение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ноябрь 2018 г.</w:t>
            </w:r>
          </w:p>
        </w:tc>
      </w:tr>
      <w:tr w:rsidR="003B6ED4" w:rsidRPr="003B6ED4" w:rsidTr="006B68C6">
        <w:trPr>
          <w:trHeight w:val="21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4-го квартала 19 жилого района города Усть-Каменогорска  (1 очередь строительства). Генеральный план и электроосвещение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8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жилых домов с инженерными сетями в 19 жилом районе города Усть-Каменогорска Восточно-Казахстанской области (позиций 51, 53, 54, 54/1, 58, 58/1, 58/2 по генплану города). Инженерные сети и благоустройство к жилому дому позиции 54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117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жилых домов с инженерными сетями в 19 жилом районе города Усть-Каменогорска Восточно-Казахстанской области (позиций 51/1, 59, 61, 61/1, 62 по генплану города). Инженерные сети и благоустройство к жилому дому позиции 51/1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23,3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04.09.2017 г., № 147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жилых домов с инженерными сетями в 19 жилом районе города Усть-Каменогорска Восточно-Казахстанской области (позиций  51/1, 59, 61, 61/1, 62 по генплану города). Инженерные сети и благоустройство к жилому дому позиции 61/1 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267</w:t>
            </w:r>
          </w:p>
        </w:tc>
      </w:tr>
      <w:tr w:rsidR="003B6ED4" w:rsidRPr="003B6ED4" w:rsidTr="006B68C6">
        <w:trPr>
          <w:trHeight w:val="234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водоводов от водозабора «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Элеваторый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до ВНС III подъема на территории 19 жилого района, строительство ВНС III подъема, строительство контррезервуаров на территории ИЖС с учетом обеспечения водоснабжения 14, 19, 20 жилых районов города Усть-Каменогорска Восточно-Казахстанской области (3 очередь строительства) 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частично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планируется корректировка ПСД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ЗРУ-10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расположенного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районе ПС КШТ в городе Усть-Каменогорске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21.09.2017 г., № 168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города Усть-Каменогорска ВКО. Генеральный план и инженерные сети к жилому дому позиция 119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май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города Усть-Каменогорска ВКО. Генеральный план и инженерные сети к жилому дому позиция 121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сентябрь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71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магистральных коллекторов ливневой канализации на территории Южного планировочного района в г. Усть-Каменогорске, ВКО. Строительство магистрального коллектора ливневой канализации по проспекту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Сатпаева</w:t>
            </w:r>
            <w:proofErr w:type="spellEnd"/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октябрь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714,5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комплекса многоэтажных жилых домов с инженерными сетями в 19 жилом районе города Усть-Каменогорска ВКО (поз. 117-118, 123 по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лану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города). Инженерные сети и благоустройство к жилому дому поз. 117-118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 города Усть-Каменогорска Восточно-Казахстанской области. Генеральный план и инженерные сети к жилому дому позиции 120/1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многоэтажных жилых домов с инженерными сетями в 19 жилом районе города Усть-Каменогорска ВКО (поз. 51, 53, 54, 54/1, 58, 58/1, 58/2 по генплану города). Инженерные сети и благоустройство к жилому дому поз 54/1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июль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сети к двум жилым домам в 19 жилом районе города Усть-Каменогорска Восточно-Казахстанской области (позиций 56, 57)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14.12.2017 г., № 249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Инженерные сети для многоэтажного жилого комплекса "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Айымжан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 на пересечении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пр.К.Сатпаева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пр.К.Маркса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сть-Каменогорске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268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129</w:t>
            </w: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комплекса многоэтажных жилых домов с инженерными сетями в 19 жилом районе города Усть-Каменогорска ВКО (поз.51/1, 59, 61, 61/1, 62 по генеральному плану города). Инженерные сети и благоустройство к жилому дому поз 61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16,5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ноябрь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8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9-ти этажного жилого дома с коммерческими помещениями по проспекту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Сатпаева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2/2 в городе Усть-Каменогорске. Благоустройство и инженерные сети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03.11.2017 г., № 203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Генеральный план, благоустройство территории и инженерные сети к детскому саду на 140 мест по ул. Машиностроителей, 14 в г. Усть-Каменогорск,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25.10.2017 г., № 191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интерната на 100 мест для детей с ограниченными возможностями по ул.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Севастопольская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6, в городе Усть-Каменогорске Восточно-Казахстанской области (Инженерные сети и благоустройство территории)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г. Усть-Каменогорска ВКО. Генеральный план и инженерные сети к жилому дому поз. 120/2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октябрь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многоэтажных жилых домов с инженерными сетями в 3 квартале 19 жилого района г. Усть-Каменогорска ВКО. Генеральный план и инженерные сети к жилому дому поз. 122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сентябрь 2018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многоквартирных жилых домов поз. 113/1 - 113/8 с коммерческими помещениями по проспекту Ильяса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Есенберлина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городе Усть-Каменогорске. Корректировка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ноябрь 2019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инженерных сетей и благоустройство к реконструируемому под жилой дом зданию бывшего детского сада по ул. Машиностроителей, 12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17.10.2017 г., № 189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сетей водоснабжения по территории ИЖС (20 жилой район) в г. Усть-Каменогорске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4 331,2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10 804,1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10 804,1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2 339,1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2 339,1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2 191,1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6 267,5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6 267,5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21. Развитие инфраструктуры автодорожной отрасли и обеспечение транспортной связи между населенными пунктами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автомобильных дорог местного значения находящихся в хорошем и удовлетворительном состоянии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Целевой индикатор. Доля неохваченных пассажирским автотранспортным сообщением населенных пунктов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Разработка ПСД "Строительство мостового перехода через реку Иртыш в створе ул. Виноградова с выходом на автотрассу Усть-Каменогорск – Семей, в городе Усть-Каменогорске", протяженностью 3,66 км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транспортной развязки на пересечении пр. Победы и ул. Казахстан в городе Усть-Каменогорске ВКО.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2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и средний ремонт городских улиц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458 045 015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отремонтировано 20 участков протяженностью 23,5 км, из них на 14 участках протяженностью 19,2 км с применением современной технологии покрытия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Реконструкция моста через реку Иртыш в створе ул. Казахстан в городе Усть-Каменогорске, протяженностью 0,32 км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458 043 015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</w:t>
            </w:r>
            <w:r w:rsidR="005751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полнен, ввод в эксплуатацию в о</w:t>
            </w: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ктябре 2018 года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458 043 015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проспекта К.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Сатпаева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улицы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Жибек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Жолы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проспекта К. Маркса в городе Усть-Каменогорске, протяженностью 4 км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надземного пешеходного перехода на пересечении пр. Независимости - пр. Абая (в районе  Т.Д. "Даниель") в г. Усть-Каменогорске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автомобильной  дороги от моста через реку Иртыш в районе острова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Лопатино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городе Усть-Каменогорске", протяженностью 2,6 км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набережной им. Славского от пр.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Ауэзова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до Мемориала Славы в городе Усть-Каменогорске ВКО, протяженностью 1,8 км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416,3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146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ул.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Протозанова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 Мемориала Славы до моста через реку Ульбу в створе ул.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Орджоникизде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городе Усть-Каменогорске ВКО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ул.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Жибек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Жолы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устройством правосторонних поворотов на пересечении с пр.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Сатпаева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городе Усть-Каменогорске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Реконструкция улицы Астана от пр. Независимости до ул. Потанина в городе Усть-Каменогорске ВКО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458 022 015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Обновление подвижного состава городского общественного транспорта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4 106,0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5 743,4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5 547,7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2 686,5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2 490,8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3 000,9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3 000,9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3 656,0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22. Обеспечение населения качественными коммунальными услугами в населенных пунктах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Снижение доли объектов кондоминиума, требующих капитального ремонта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Снижение доли объектов кондоминиума, требующих капитального ремонта в городах "второго уровня"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индикатор. Доступ в городах к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централизованному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одоснабжению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62.2)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одоотведению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индикатор. Доступ сельских населенных пунктов к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централизованному</w:t>
            </w:r>
            <w:proofErr w:type="gram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одоснабжению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63.2)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одоотведению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Доля модернизированных сетей от общей протяженности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теплоснабжение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64.2)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 электроснабжение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Протяженность модернизированных/построенных сетей: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В городах "второго уровня"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теплоснабжение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12,56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17,46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водоснабжение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15,80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водоотведение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65.2)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В сельских территориях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4) водоснабжение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5) водоотведение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км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Снижение аварийности на городских сетях водоснабжения и водоотведения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В городах "второго уровня"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водоснабжение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на 1 км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водоотведение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на 1 км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66.2)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В сельских территориях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водоснабжение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на 1 км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2) водоотведение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аварий на 1 км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етей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Доля нормативно очищенных сточных вод в городах при выбросах в водоемы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67.1)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В городах "второго уровня"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статистические данные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водозабора Северо-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Атамановский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Нижне-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Согринский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г. Усть-Каменогорске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458 053 033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Сети водоснабжения и канализации в 18 жилом районе (поселок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Ульбинский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г. Усть-Каменогорск,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водоснабжения поселка Шмелев Лог города Усть-Каменогорска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сетей водоснабжения с.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Ново-Троицкое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 Усть-Каменогорска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водопроводных сетей в районе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Аэропрот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КСМ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водозабора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Октябрьский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Усть-Каменогорска,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республиканкий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458054032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2019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сетей водоснабжения района Защита города Усть-Каменогорска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очистных сооружений канализации города Усть-Каменогорска 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458 029 015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Рекострукция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насосной станции по ул.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Лениногорская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1А в городе Усть-Каменогорск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Кредитные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159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сетей водоснабжения с.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Меновное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Усть-Каменогорска, Восточно-Казахстанской области (2 очередь)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458 058 015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Реконструкцию сетей водоснабжения с.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Усть-Каменогорска, Восточно-Казахстанской области (2 очередь)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458 058 015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2019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сетей канализации с.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Меновное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г. Усть-Каменогорска, Восточно-Казахстанской области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458 058 015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2018 г.</w:t>
            </w:r>
          </w:p>
        </w:tc>
      </w:tr>
      <w:tr w:rsidR="003B6ED4" w:rsidRPr="003B6ED4" w:rsidTr="006B68C6">
        <w:trPr>
          <w:trHeight w:val="19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самотечного канализационного коллектора диаметром 1200 мм бестраншейным способом, участок 1: от камеры гашения по ул. Тракторная до здания пр. Независимости, 86, участок 2: по ул. Добролюбова, от здания пр. Независимости до КНС -17 в г. Усть-Каменогорске,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458 029 015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2018г.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Реконструкция канализационного коллектора с КНС№30 (бестраншейным способом) по ул.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Байбатчина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 Усть-Каменогорска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бюджет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458 053 033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28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 канализационных насосных станций № 30 и 31</w:t>
            </w:r>
          </w:p>
        </w:tc>
        <w:tc>
          <w:tcPr>
            <w:tcW w:w="13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458054032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в эксплуатацию в 2019 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очистных сооружений канализации города Усть-Каменогорска 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458 029 015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исполнен, введен в эксплуатацию 20.09.2017г.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ПС 110/10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"Новая и питающая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110кВ" в городе Усть-Каменогорск ВКО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ввод запланирован на декабрь 2019 г.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подстанции 110/10 10кВ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110кВ от ПС 11 до ПС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ВЛ-110кВ от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Ахмирово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ПС Центральная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278,5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частично исполнен, переходящий на 2019 г.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сети электроснабжения в 19 жилом районе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.У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сть-Каменогорска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линии электроснабжения от ПС "Левобережная"  до ТП с РП-40; линии электроснабжения от ПС "Левобережная" до ТП с РП-44"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20.12.2017 г., № 254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Строительство воздушных линий 0,4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 жилых домов с освещением на территории ИЖС, 20 жилой район г. Усть-Каменогорска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950,5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467 004 015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  <w:proofErr w:type="gram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введен в эксплуатацию 26.12.2017 г., № 269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1 885,6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6 155,9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6 155,5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2 593,1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2 593,1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1 191,1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1 191,1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1 539,0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1 538,6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1 244,6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832,7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832,7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Экология и земельные ресурсы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23. Совершенствование системы сбора, переработки и утилизации твердых бытовых отходов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Доля утилизации твердых бытовых отходов к их образованию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Охват населения области, города  услугами по сбору и транспортировке  отходов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Доля объектов размещения твердых бытовых отходов, соответствующих экологическим требованиям и  санитарным правилам (от общего количества мест захоронения)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Строительство мусороперерабатывающего завода с современными технологиями приема, сортировки, переработки и вторичного использования твердых бытовых отходов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реализации перенесен, ведется поиск инвестора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288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Рекультивация существующих полигонов твердо-бытовых отходов, совершенствование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ситемы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утилизации автомобильных шин.</w:t>
            </w:r>
          </w:p>
        </w:tc>
        <w:tc>
          <w:tcPr>
            <w:tcW w:w="136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88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23</w:t>
            </w:r>
          </w:p>
        </w:tc>
        <w:tc>
          <w:tcPr>
            <w:tcW w:w="1367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24. Вовлечение в сельскохозяйственный оборот земель сельскохозяйственного назначения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индикатор. Увеличение доли вовлеченных в сельскохозяйственный оборот земель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Доля севооборотов в составе пахотных земель (полевой севооборот)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индикатор. Доля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пастбищеоборота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составе естественных пастбищных угодий  (кормовой севооборот)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ведомтсвенная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Разработка проектов внутрихозяйственного землеустройства и проведения мероприятий по обязательному соблюдению севооборотов в составе пахотных земель при использовании земель сельскохозяйственного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назначени</w:t>
            </w:r>
            <w:proofErr w:type="spellEnd"/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ОЗОиСХ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исполнен, за 2017 год разработан 1 проект внутрихозяйственного устройства  КХ Парада, всего разработано 6 проектов 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Цель 25 Снижение  выбросов в окружающую среду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74)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автотранспорта, переоборудованного на газ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ОЖКХ,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ПТиАД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1 113,0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системы перевода городского автотранспорта на газ среди населения (электронные, печатные СМИ)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ОВП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требует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Направление: Государственные услуги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Цель 26. Повышение доступности государственных услуг для граждан и организаций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75)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Целевой индикатор. Повышение уровня удовлетворенности качеством оказания государственных услуг оказываемых местными исполнительными органами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соцопрос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76)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Целевой индикатор. Доля электронного документооборота от общего документооборота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ведомственная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84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работоспособности ЕСЭДО  в аппарате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122 001 015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1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Сопровождение ИПГО в аппарате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самостоятельных отделах города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122 001 015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1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Сопровождение автоматизированного рабочего места (АРМ) направленного на автоматизацию внутренних бизнес-процессов МИО, оказывающих государственные услуги  (ИС Региональный Шлюз «электронного правительства»)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аппарат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акима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122 001 015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цели 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Итого по Плану мероприятий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360 559,6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189 219,7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189 023,2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40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3 667,7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2 433,1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2 433,1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4 899,3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4 899,3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711,5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10 794,4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10 598,7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3 025,9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10 420,3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10 419,4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78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349 261,5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160 672,6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160 672,6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54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44"/>
                <w:szCs w:val="44"/>
                <w:lang w:eastAsia="ru-RU"/>
              </w:rPr>
            </w:pPr>
          </w:p>
        </w:tc>
      </w:tr>
      <w:tr w:rsidR="003B6ED4" w:rsidRPr="003B6ED4" w:rsidTr="006B68C6">
        <w:trPr>
          <w:trHeight w:val="375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2. Анализ межведомственного взаимодействия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B6ED4" w:rsidRPr="003B6ED4" w:rsidTr="006B68C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целевого индикатора/показателя результата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Соисполнитель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взаимодействия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B6ED4" w:rsidRPr="003B6ED4" w:rsidTr="006B68C6">
        <w:trPr>
          <w:trHeight w:val="156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индикаторы: Индекс физического объема выпуска продукции обрабатывающей промышленности; Индекс физического объема металлургической промышленности; Индекс физического объема производства готовых металлических изделий, кроме машин и оборудования; Индекс физического объема легкой промышленности; Индекс физического объема производства продуктов химической продукции; Индекс физического объема производства основных фармацевтических продуктов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промышленные предприятия города, в первую очередь ТОО "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Казцинк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ТОО "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Гидросталь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", ТОО "Сорбент"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Высокая зависимость от ценовой политики на международном уровне, высокая экспортная ориентированность производства, зависимость от уровня спроса на продукцию, наличие заказов. Для улучшения показателей проводятся мероприятия по привлечению предприятий к участию в выставках и ярмарках, расширению межрегионального сотрудничества</w:t>
            </w:r>
          </w:p>
        </w:tc>
      </w:tr>
      <w:tr w:rsidR="003B6ED4" w:rsidRPr="003B6ED4" w:rsidTr="006B68C6">
        <w:trPr>
          <w:trHeight w:val="130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Целевые индикаторы: Доля поголовья крупного рогатого скота и мелкого рогатого скота в организованных хозяйствах (КРС и МРС); Доля поголовья крупного рогатого скота и мелкого рогатого скота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участвующих в породном преобразовании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крестьянские хозяйства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Увеличение удельного веса поголовья в подсобных хозяйствах, отсутствие достаточных площадей пастбищных угодий для выпаса скота. Для улучшения показателя проводится субсидирование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сельхозтоваропроизводителей</w:t>
            </w:r>
            <w:proofErr w:type="spellEnd"/>
          </w:p>
        </w:tc>
      </w:tr>
      <w:tr w:rsidR="003B6ED4" w:rsidRPr="003B6ED4" w:rsidTr="006B68C6">
        <w:trPr>
          <w:trHeight w:val="172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Целевой индикатор: Снижение смертности от туберкулеза</w:t>
            </w:r>
          </w:p>
        </w:tc>
        <w:tc>
          <w:tcPr>
            <w:tcW w:w="2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Облтубдиспансер</w:t>
            </w:r>
            <w:proofErr w:type="spellEnd"/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на территории города уголовно-исправительных учреждений с контингентом, потенциально являющимся распространителями заболевания, а также возможность лечения с временным пребыванием в стационаре влияет на рост заболеваемости. Для улучшения ситуации проводятся мероприятия по раннему выявлению случаев и постановка на постоянный учет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75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3. Анализ внешнего воздействия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Факторы внешнего воздействия и их влияние на достижение целевых индикаторов/показателей результата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3B6ED4" w:rsidRPr="003B6ED4" w:rsidTr="006B68C6">
        <w:trPr>
          <w:trHeight w:val="31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3B6ED4" w:rsidRPr="003B6ED4" w:rsidTr="006B68C6">
        <w:trPr>
          <w:trHeight w:val="192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Введение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таргетированного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 валюты, вступление в ВТО, резкое падение курса рубля привело к снижению объемов производства на ряде предприятий машиностроительной отрасли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Оказание финансовой помощи, в том числе через программы льготного кредитования, включение проектов в госпрограммы индустриально-инновационного развития, "Дорожная карта бизнеса - 2020". В рамках второй пятилетки Государственной программы индустриально-инновационного развития на 2015-2019 годы включено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 проектов общей стоимостью 123,8 млрд. тенге. Из них 2 проекта на 1,6 млрд. тенге реализованы в 2015 году (АО «УК ТМК» и ТОО «Мелисса»), 2 проекта на 1,0 млрд. тенге (ТОО «Вертекс-Восток»,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KazWoodGroup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– в 2016 году, 2 проекта на 965 млн. тенге (ТОО «ТАГ-ТИН», АО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арматурный завод») – в 2017 году.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рамках единой программы «Дорожной карты бизнеса-2020» за  2017 рассмотрено 62 заявки предпринимателей на общую сумму 4 млрд. тенге с созданием 382 рабочих мест.</w:t>
            </w:r>
          </w:p>
        </w:tc>
      </w:tr>
      <w:tr w:rsidR="003B6ED4" w:rsidRPr="003B6ED4" w:rsidTr="006B68C6">
        <w:trPr>
          <w:trHeight w:val="34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Неблагориятная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экологическая обстановка, загрязнение окружающей среды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Эксплуатация системы РАСПЭМ (региональной автоматизированной системе производственно-экологического мониторинга), реконструкция очистных сооружений</w:t>
            </w:r>
          </w:p>
        </w:tc>
      </w:tr>
      <w:tr w:rsidR="003B6ED4" w:rsidRPr="003B6ED4" w:rsidTr="006B68C6">
        <w:trPr>
          <w:trHeight w:val="63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Угроза финансового кризиса, удорожание цен на коммунальные услуги и оборудование, износ зданий и материально-технической базы. 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Перераспределение средств, режим экономии, оперативное реагирование на возможность ЧС способствуют тому, что в городе нет аварийных зданий, школ, работающих в 3 смены. </w:t>
            </w:r>
          </w:p>
        </w:tc>
      </w:tr>
      <w:tr w:rsidR="003B6ED4" w:rsidRPr="003B6ED4" w:rsidTr="006B68C6">
        <w:trPr>
          <w:trHeight w:val="73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Угроза проявлений религиозного экстремизма, противоправного поведения со стороны социально не защищенных родителей и детей из их семей. 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преподавания предмета «Основы религиоведения», запуск проекта «Правовой всеобуч» для учащихся 1-11-х классов, социальная поддержка малообеспеченных семей за счет фонда всеобуча, акции «Дорога в школу» позволяют снизить влияние дестабилизирующих факторов.</w:t>
            </w:r>
          </w:p>
        </w:tc>
      </w:tr>
      <w:tr w:rsidR="003B6ED4" w:rsidRPr="003B6ED4" w:rsidTr="006B68C6">
        <w:trPr>
          <w:trHeight w:val="103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Возможное ухудшение общественно-политической ситуации, вызванное попытками извне дестабилизировать межэтническое и межконфессиональное согласие.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Проводится активная информационно-пропагандистская работа по развитию молодежной политики среди учащейся, работающей и студенческой молодежи города.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Привлечение молодежных организаций, общественных объединений, движений к реализации молодежной политики в городе.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Совершенствуются формы работы диалоговых площадок. </w:t>
            </w:r>
          </w:p>
        </w:tc>
      </w:tr>
      <w:tr w:rsidR="003B6ED4" w:rsidRPr="003B6ED4" w:rsidTr="006B68C6">
        <w:trPr>
          <w:trHeight w:val="129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Ухудшение экономической конъюнктуры вследствие долгосрочной рецессии мировой экономики, возможность роста безработицы и снижения реальных доходов населения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Улучшение системы мониторинга и прогнозирования  ситуации на рынке труда Меры по предотвращению высвобождения рабочей силы вследствие реструктуризации, сокращения объемов производства и банкротства. Расширение инфраструктуры  оказания специальных социальных услуг и охвата специальными социальными услугами лиц, попавших в трудную жизненную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ситуацию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недрение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стандартов оказания специальных социальных услуг в области социальной защиты.  Совершенствование государственной службы содействия занятости, учета и мониторинга состояния рынка труда. Внедрение АИС «Рынок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труда»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.С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одействие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занятости целевых групп населения, в том числе активация трудоспособного населения из числа малообеспеченного населения.</w:t>
            </w:r>
          </w:p>
        </w:tc>
      </w:tr>
      <w:tr w:rsidR="003B6ED4" w:rsidRPr="003B6ED4" w:rsidTr="006B68C6">
        <w:trPr>
          <w:trHeight w:val="675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Негативное влияние природно-климатических условий на объекты историко-культурного наследия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управлением по государственному контролю и надзору в области чрезвычайных ситуаций города Усть-Каменогорска по проведению мероприятий по  снижению риска воздействия  стихийных бедствий и уменьшения возможных потерь и ущерба  при чрезвычайных ситуациях</w:t>
            </w:r>
          </w:p>
        </w:tc>
      </w:tr>
      <w:tr w:rsidR="003B6ED4" w:rsidRPr="003B6ED4" w:rsidTr="006B68C6">
        <w:trPr>
          <w:trHeight w:val="135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Наблюдается рост хулиганств, наибольшее количество преступлений совершается безработными, приезжими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городе действует специальный проект «Безопасный двор», который предусматривает оборудование дворовых территорий и подъездов жилых домов системами видеоконтроля. В круглосуточном режиме функционируют порядка трехсот видеокамер с выходом в пять участковых пунктов полиции, 245 камер установлено в подъездах. В целях профилактики правонарушений принимаются меры по формированию в обществе принципа «нулевой  терпимости» к нарушениям закона, защите конституционных прав граждан, укреплению правопорядка. В 2016 году создана местная полицейская служба, подотчетная местным исполнительным органам, разработана Карта правонарушений. </w:t>
            </w:r>
          </w:p>
        </w:tc>
      </w:tr>
      <w:tr w:rsidR="003B6ED4" w:rsidRPr="003B6ED4" w:rsidTr="006B68C6">
        <w:trPr>
          <w:trHeight w:val="660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Высокий уровень отказов на системах водоснабжения, водоотведения, аварийности на автомагистралях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вследствии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ограниченного финансирования из средств республиканского и областного бюджета на реализацию инвестиционных проектов,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направленных на развитие городской инфраструктуры (водоснабжение, водоотведение, ремонт и строительство дорог и мостовых переходов и др.)</w:t>
            </w:r>
          </w:p>
        </w:tc>
        <w:tc>
          <w:tcPr>
            <w:tcW w:w="1072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Отработка администраторами бюджетных программ бюджетных заявок в областных отраслевых управлениях, разработка проектно-сметной документации на первоочередные проекты, продвижение реализации проектов через финансовые институты, в том числе ЕБРР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75"/>
        </w:trPr>
        <w:tc>
          <w:tcPr>
            <w:tcW w:w="8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  <w:lang w:eastAsia="ru-RU"/>
              </w:rPr>
              <w:t>4. Освоение финансовых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63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6B68C6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План, </w:t>
            </w:r>
            <w:r w:rsidR="003B6ED4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 тенге</w:t>
            </w:r>
          </w:p>
        </w:tc>
        <w:tc>
          <w:tcPr>
            <w:tcW w:w="1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Факт, млн. тенге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неиспользования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1: Республиканский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2 433,1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2. Трансферты из национального фонда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4 899,3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3. Государственно-частное партнерство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1110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4: Областной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10 794,4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10 598,7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Остаток неосвоенных средств по 2-м проектам из-за отставания от графика производства работ: Строительство надземного пешеходного перехода на пересечении пр. Независимости - пр. Абая (в районе  Т.Д. "Даниель") в г. Усть-Каменогорске ВКО (36,7 млн. тенге) и Реконструкция автомобильной  дороги от моста через реку Иртыш в районе острова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Лопатино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Ахмирово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городе Усть-Каменогорске", протяженностью 2,6 км (159 млн. тенге). 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5: Городской бюджет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10 420,3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10 419,4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экономия по конкурсам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6: Собственные и заемные средства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160 672,6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160 672,6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15"/>
        </w:trPr>
        <w:tc>
          <w:tcPr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ED4" w:rsidRPr="006B68C6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189 219,7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189 023,2</w:t>
            </w:r>
          </w:p>
        </w:tc>
        <w:tc>
          <w:tcPr>
            <w:tcW w:w="921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D4" w:rsidRPr="006B68C6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122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 Аналитическая записка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итогам 2017 года из 86 целевых индикаторов обеспечено выполнение по 62-м, по 6-ти индикаторам годовая статистическая отчетность отсутствует, по 2-м индикаторам план на 2017 год не предусмотрен, по 16-ти индикаторам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плановые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значение не выполнены.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Цель "Обеспечение стабильного роста экономики города" из 1 индикатора достигнут 1. За 2016 год поступления налоговых и неналоговых платежей в бюджет в контингенте составили 40997,3 млн. тенге, за 2017 год - 45178 млн. тенге, темп роста - 110,2%. За 2016 год создано 5894 рабочих места, среднемесячная зарплата выросла на 8,6%, частные инвестиции в основные средства составили 57,7 млрд. тенге.</w:t>
            </w:r>
          </w:p>
        </w:tc>
      </w:tr>
      <w:tr w:rsidR="003B6ED4" w:rsidRPr="003B6ED4" w:rsidTr="006B68C6">
        <w:trPr>
          <w:trHeight w:val="121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 «Развитие приоритетных секторов промышленности»: из 8 индикаторов достигнуто 2.     В рамках второй пятилетки Государственной программы индустриально-инновационного развития на 2015-2019 годы включено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11 проектов общей стоимостью 123,8 млрд. тенге. Из них 2 проекта на 1,6 млрд. тенге реализованы в 2015 году (АО «УК ТМК» и ТОО «Мелисса»), 2 проекта на 1,0 млрд. тенге (ТОО «Вертекс-Восток»,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KazWoodGroup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») – в 2016 году, 2 проекта на 965 млн. тенге (ТОО «ТАГ-ТИН», АО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Усть-Каменогорский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арматурный завод») – в 2017 году.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снижение объемов в металлургии из-за вхождения в состав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Казцинк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2-х его дочерних предприятий (ТОО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Казцинк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Ремсервис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Казцинк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Транс») (металлургия), из-за сокращения спроса и заключенных договоров на поставку продукции снижение объемов на ПКФ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Рауан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(легкая промышленность),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Гидросталь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(производство металлических изделий), ТОО «Сорбент» (фармацевтическая промышленность). </w:t>
            </w:r>
          </w:p>
        </w:tc>
      </w:tr>
      <w:tr w:rsidR="003B6ED4" w:rsidRPr="003B6ED4" w:rsidTr="006B68C6">
        <w:trPr>
          <w:trHeight w:val="82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улучшения показателей в 2018 году запланирована реализация 3-х проектов Карты поддержки предпринимательства (АО «Азия Авто Казахстан», АО «УК Конденсаторный завод», ТОО «У-Ка Кирпич») и выход на проектную мощность по 2-м реализованным проектам (ТОО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Таг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-Тин», ТОО «Вертекс-Восток»).</w:t>
            </w:r>
          </w:p>
        </w:tc>
      </w:tr>
      <w:tr w:rsidR="003B6ED4" w:rsidRPr="003B6ED4" w:rsidTr="006B68C6">
        <w:trPr>
          <w:trHeight w:val="114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Цель: «Стимулирование притока инвестиций в экономику города»: из 4 индикаторов достигнуто 3, по 1-му (Доля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активных предприятий)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статотчетность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отсутствует в связи с более поздними сроками формирования данных. Объем инвестиций составил 115,6 млрд. тенге, ИФО - 135,1%. Значительные средства были вложены промышленными предприятиями города (ТОО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Казцинк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ТОО «АЭС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ГЭС»,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Усть-Каменогорская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ТЭЦ», АО «УМЗ», ТОО «Ульба ТВС»).  </w:t>
            </w:r>
          </w:p>
        </w:tc>
      </w:tr>
      <w:tr w:rsidR="003B6ED4" w:rsidRPr="003B6ED4" w:rsidTr="006B68C6">
        <w:trPr>
          <w:trHeight w:val="51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сотрудничества с Европейским Банком реконструкции и развития (далее ЕБРР) по городу Усть-Каменогорску предложено 8 инвестиционных проектов, общая стоимость которых составляет 57,8 млрд. тенге. </w:t>
            </w:r>
          </w:p>
        </w:tc>
      </w:tr>
      <w:tr w:rsidR="003B6ED4" w:rsidRPr="003B6ED4" w:rsidTr="006B68C6">
        <w:trPr>
          <w:trHeight w:val="166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на 25 млрд. тенге подписаны кредитный договор и предварительные соглашения о финансировании проектов, в том числе:</w:t>
            </w: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– кредитные договора на 14,7 млрд. тенге (Модернизация системы водоснабжения и водоотведения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Модернизация уличного освещения в городах Усть-Каменогорск и Семей, Модернизация системы теплоснабжения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г.Усть-Каменогорск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– предварительные соглашения о финансировании на 10,3 млрд. тенге (Модернизация общественного транспорта в г. Усть-Каменогорск, Модернизация аэропорта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государственно-частного партнерства достигнута договоренность по строительству 3-х детских садов с предприятиями ТОО «VK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development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group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Востоквзрывпром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Айналайын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Ведется работа по инициации дополнительных проектов по приобретению оргтехники, мультимедийных кабинетов и интерактивных досок для школ.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Запланированы капиталовложения по строительству завода АО «Азия авто Казахстан», продолжится реализация проекта совместного предприятия с китайской компанией по производству тепловыделяющих сборок мощностью 200 тонн в год ТОО «Ульба-ТВС».</w:t>
            </w:r>
          </w:p>
        </w:tc>
      </w:tr>
      <w:tr w:rsidR="003B6ED4" w:rsidRPr="003B6ED4" w:rsidTr="006B68C6">
        <w:trPr>
          <w:trHeight w:val="130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Продолжится работа по реализации проектов «Модернизация системы водоснабжения и водоотведения», «Модернизация системы теплоснабжения» «Замена уличного освещения на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энергосберегающее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рамках финансирования с ЕБРР. Планируется ввод в эксплуатацию коммерческих объектов, в том числе: административного здания по ул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ирова,68/1, ресторан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Тойхана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Бизнес центра по ул. Тохтарова,51, пристройка к торговому дому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Алем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ИП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Байсалбаев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продолжения строительства комплекса «АДК-сити».</w:t>
            </w:r>
          </w:p>
        </w:tc>
      </w:tr>
      <w:tr w:rsidR="003B6ED4" w:rsidRPr="003B6ED4" w:rsidTr="006B68C6">
        <w:trPr>
          <w:trHeight w:val="42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"Обеспечение продовольственной безопасности города": из 6 индикаторов достигнуто 3, по 3-м плановые значения не выполнены (доля КРС и МРС в организованных хозяйствах и участвующих в породном преобразовании). </w:t>
            </w: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84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валовой продукции сельскохозяйственного производства составил 17 млрд. тенге с ростом на 5,7%. В животноводстве за прошлый год увеличилось производство мяса на 13,3%, молока – на 1%, выросло поголовье свиней на 42,1%. За 2017 год получено 99,2 млн. тенге субсидий крестьянскими хозяйствами.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прошлом году реализовано 2 проекта: «Завершение строительства цеха, приобретение и монтаж оборудования по фасовке меда в КХ «Пасека» и «Расширение производства за счет реконструкции и зарыбления прудов для воспроизводства молоди, реализации ежегодно до 500 тысяч мальков и до 500 тонн товарной рыбы в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Усть-Каменогорское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прудовое хозяйство».</w:t>
            </w:r>
          </w:p>
        </w:tc>
      </w:tr>
      <w:tr w:rsidR="003B6ED4" w:rsidRPr="003B6ED4" w:rsidTr="006B68C6">
        <w:trPr>
          <w:trHeight w:val="1584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ближайшие два года планируется реализация проектов: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расширение тепличного комплекса ТОО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АльЖан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АгроТрейд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за счет собственных средств,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строительство завода по переработке масличных культур ТОО «Восток Агро Холдинг»,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завершение строительства рынка по забою  и продаже скота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Ті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мал базары» с убойным цехом и откормочной площадки ИП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Локотош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В.,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строительство убойного цеха КХ «Родничок» для свиноводческого хозяйства.</w:t>
            </w:r>
          </w:p>
        </w:tc>
      </w:tr>
      <w:tr w:rsidR="003B6ED4" w:rsidRPr="003B6ED4" w:rsidTr="006B68C6">
        <w:trPr>
          <w:trHeight w:val="274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"Динамичное развитие сферы внутренней торговли"  Из 1 индикатора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</w:t>
            </w:r>
            <w:r w:rsidR="009E56A3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B6ED4" w:rsidRPr="003B6ED4" w:rsidTr="006B68C6">
        <w:trPr>
          <w:trHeight w:val="78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Увеличился объем розничной торговли, который составил 446,3 млрд. тенге, с ростом на 7,9% к 2016 году.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целях сдерживания цен на продукты питания была организована работа 28 социальных отделов с применением торговой надбавкой не более 5-10%; действовали 424 меморандума, заключенных с местными товаропроизводителями, оптовыми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реализаторами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дилерами, магазинами и рынками.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межсезонный период 2017-2018 года в стабилизационный фонд было заложено 3,3 тыс. тонн плодоовощной продукции. Реализация осуществляется в 36 торговых объектах, в том числе в 24 коммерческих объектах не выше 83 тенге и в 13 точках АО «НК СПК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Ерті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spellEnd"/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фиксированной цене 75 тенге за 1 кг. </w:t>
            </w:r>
          </w:p>
        </w:tc>
      </w:tr>
      <w:tr w:rsidR="003B6ED4" w:rsidRPr="003B6ED4" w:rsidTr="006B68C6">
        <w:trPr>
          <w:trHeight w:val="52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"Развитие индустрии туризма":  предусмотрено 3 индикатора, по которым статистические данные за год формируются в более поздние сроки.</w:t>
            </w:r>
          </w:p>
        </w:tc>
      </w:tr>
      <w:tr w:rsidR="003B6ED4" w:rsidRPr="003B6ED4" w:rsidTr="006B68C6">
        <w:trPr>
          <w:trHeight w:val="47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расширения сферы предоставления развлекательных услуг в 2017 году открылся комплекс сети ресторанов и гостиницы "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Royal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", Дворец бракосочетаний. В 2018 году запланирован ввод в эксплуатацию гостиничного комплекса "Диамант",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Бизнес-центра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Тохтарова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6ED4" w:rsidRPr="003B6ED4" w:rsidTr="006B68C6">
        <w:trPr>
          <w:trHeight w:val="35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"Повышение качества общего среднего образования": предусмотрены и достигнуты 2 индикатора.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B68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118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2017 году на финансирование отрасли выделено 13,3 млрд. тенге, что на  1,4 млрд. тенге больше чем в 2016 году.  Для укрепления материально технической базы было выделено 490,1 млн. тенге с ростом к уровню 2016 года в 2,2 раза.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направлены на капитальный ремонт кровли 3-х школ (174,5 млн. тенге), приобретение предметных кабинетов (85,5 млн. тенге), компьютеров (24 млн. тенге), пандусов (20 млн. тенге), мебели по школам и детским садам (79,5 млн. тенге), установку видеонаблюдения (14 млн. тенге), оснащение спортивным инвентарем (22 млн. тенге).</w:t>
            </w:r>
            <w:proofErr w:type="gramEnd"/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Работает 50 общеобразовательных школ, в том числе в 2017-2018 учебном году открыта «Средняя школа № 47» на 1000 мест в районе КШТ. Контингент учащихся с 1 по 11 класс составил  35 тысяч учащихся и увеличился в сравнении  с 2016 годом на 1,6 тысяч школьников. Бесплатным горячим питанием обеспечено 100 % детей из социально незащищенных слоев населения.</w:t>
            </w:r>
          </w:p>
        </w:tc>
      </w:tr>
      <w:tr w:rsidR="003B6ED4" w:rsidRPr="003B6ED4" w:rsidTr="006B68C6">
        <w:trPr>
          <w:trHeight w:val="51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2017 году средний балл ЕНТ поднялся с 86,6 до 87,1. Аттестат об общем среднем образовании «Алтын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получили 49 выпускников (в 2016 году – 36).</w:t>
            </w:r>
          </w:p>
        </w:tc>
      </w:tr>
      <w:tr w:rsidR="003B6ED4" w:rsidRPr="003B6ED4" w:rsidTr="006B68C6">
        <w:trPr>
          <w:trHeight w:val="57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"Обеспечение охвата детей качественным дошкольным воспитанием и обучением". Из 2 индикаторов достигнуто 2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Функционируют 94 дошкольных организации с охватом детей 15283 детей (в детских садах 13137, в мини-центрах - 2146). Общий охват детей в возрасте от 1 до 6 лет дошкольным образованием составляет 91,4 % и в возрасте от 3 до 6 лет – 99,9 %. В рамках государственно-частного партнерства государственный образовательный заказ в частных детских садах размещен на 4225 мест. В течение 2017 года открыто дошкольных организаций на 409 мест.</w:t>
            </w:r>
          </w:p>
        </w:tc>
      </w:tr>
      <w:tr w:rsidR="003B6ED4" w:rsidRPr="003B6ED4" w:rsidTr="006B68C6">
        <w:trPr>
          <w:trHeight w:val="85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2018 году будет продолжено строительство новых школ в 19 жилом районе и в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Ахмирово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пристройки к школе № 23 в районе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Согры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Планируется открытие дополнительно 951 места в дошкольных организациях.</w:t>
            </w:r>
            <w:r w:rsidRPr="006B6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Будут продолжены работы по строительству 2-х детских садов на 500 мест в рамках государственно-частного партнерства.</w:t>
            </w:r>
          </w:p>
        </w:tc>
      </w:tr>
      <w:tr w:rsidR="003B6ED4" w:rsidRPr="003B6ED4" w:rsidTr="006B68C6">
        <w:trPr>
          <w:trHeight w:val="55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"Улучшение здоровья населения и демографической ситуации": из предусмотренных 6 индикаторов 5 достигнуто, по 1 план не выполнен (Снижение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сметрности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туберкулеза).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сфере здравоохранения случаев материнской смертности по городу Усть-Каменогорску в  2017 году  не зарегистрировано, младенческая смертность сократилась на 25,6% и составила 6,4  случая на 1000 живорожденных. Заболеваемость злокачественными новообразованиями снизилась на 6,1%, смертность от злокачественных новообразований – на 14,2%. В то же время наблюдается рост заболеваемости туберкулезом на 29,6%.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Причины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недостижения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наличие на территории города уголовно-исправительных учреждений с контингентом, потенциально являющимся распространителями заболевания, а также возможность лечения с временным пребыванием в стационаре влияет на рост заболеваемости. Для улучшения ситуации проводятся мероприятия по раннему выявлению случаев и постановка на постоянный учет.</w:t>
            </w:r>
          </w:p>
        </w:tc>
      </w:tr>
      <w:tr w:rsidR="003B6ED4" w:rsidRPr="003B6ED4" w:rsidTr="006B68C6">
        <w:trPr>
          <w:trHeight w:val="87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улучшения качества предоставления медицинских услуг будет продолжено строительство больницы на 200 коек и реконструкция здания под поликлинику на 212 посещений. В рамках государственно-частного партнерства планируется реализация двух проектов: «Строительство и эксплуатация многопрофильной больницы на 300 коек в городе Усть-Каменогорске» и «Передача в доверительное управление Больницы №4 г. Усть-Каменогорск».</w:t>
            </w:r>
          </w:p>
        </w:tc>
      </w:tr>
      <w:tr w:rsidR="003B6ED4" w:rsidRPr="003B6ED4" w:rsidTr="006B68C6">
        <w:trPr>
          <w:trHeight w:val="58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"Повышение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эффективности мер содействия занятости населения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". Из 2 индикаторов  все исполнены.                      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99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"Обеспечение социальной защиты уязвимых категорий населения". Из 3 индикаторов все исполнены.</w:t>
            </w:r>
          </w:p>
        </w:tc>
      </w:tr>
      <w:tr w:rsidR="003B6ED4" w:rsidRPr="003B6ED4" w:rsidTr="006B68C6">
        <w:trPr>
          <w:trHeight w:val="81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Мероприятиями Комплексного плана содействия занятости охвачено 8 762 человека, в том числе: безработных - 4903,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самозанятых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- 122, лиц, ищущих работу - 3720, наемных работников - 17.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Из обратившихся по вопросу занятости 9146 человек, трудоустроено 7152, или 78,2 %. Количество зарегистрированных безработных по состоянию на 1 января 2018 года составило 1630 человек. </w:t>
            </w:r>
          </w:p>
        </w:tc>
      </w:tr>
      <w:tr w:rsidR="003B6ED4" w:rsidRPr="003B6ED4" w:rsidTr="006B68C6">
        <w:trPr>
          <w:trHeight w:val="81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рамках реализации Программы развития продуктивной занятости и массового предпринимательства в первом полугодии 2017 года введено в эксплуатацию и заселено 70-ти квартирное малосемейное общежитие по проспекту Абая, 18/2. Квартиры в общежитии выделены 67 семьям работающей молодежи в возрасте до 29 лет, в том числе, 38 - для семей медицинских работников.</w:t>
            </w:r>
          </w:p>
        </w:tc>
      </w:tr>
      <w:tr w:rsidR="003B6ED4" w:rsidRPr="003B6ED4" w:rsidTr="006B68C6">
        <w:trPr>
          <w:trHeight w:val="81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малообеспеченных граждан на конец года составило 1678 человек. Для обеспечения поддержки нуждающихся граждан выплачена жилищная помощь 619 семьям на 14,7 млн. тенге, государственная адресная социальная помощь - 29 семьям на  3,7 млн. тенге, пособие на детей до 18 лет - 266 семьям из 719 детей на 10,1 млн. тенге. Обусловленная денежная помощь в рамках проекта 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Өрлеу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назначена 118 семьям на 12,7 млн. тенге. </w:t>
            </w:r>
          </w:p>
        </w:tc>
      </w:tr>
      <w:tr w:rsidR="003B6ED4" w:rsidRPr="003B6ED4" w:rsidTr="006B68C6">
        <w:trPr>
          <w:trHeight w:val="223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Продолжилась реализация Программы развития продуктивной занятости и массового предпринимательства.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«Обеспечению техническим и профессиональным образованием и краткосрочным профессиональным обучением» было направлено на обучение 1362 человека, завершили обучение 1292 человека,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трудоустроены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582 человека.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«Развитию массового предпринимательства» обратились по вопросу микрокредитования 144 человека, выданы направления для кредитования в банки второго уровня на 1558,3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.т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енге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Одобрены кредитные заявки 34 претендентам на сумму 322,4 млн. тенге, получили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микрокредиты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23 человека на сумму 186,7 млн.  тенге. 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«Развитию рынка труда через содействие занятости населения и мобильность трудовых ресурсов» на социальные рабочие места направлено 282 человека, на молодежную практику - 450, на общественные работы - 487.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На переезд внутренних мигрантов, включая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оралманов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квоте, выплачено субсидий 5,7 млн. тенге 21 семье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оралманов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71 человека и 1 переселенцу из южного региона. </w:t>
            </w:r>
          </w:p>
        </w:tc>
      </w:tr>
      <w:tr w:rsidR="003B6ED4" w:rsidRPr="003B6ED4" w:rsidTr="006B68C6">
        <w:trPr>
          <w:trHeight w:val="57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 "Сохранение отечественной культуры". Из 2 индикаторов все исполнены.</w:t>
            </w:r>
          </w:p>
        </w:tc>
      </w:tr>
      <w:tr w:rsidR="003B6ED4" w:rsidRPr="003B6ED4" w:rsidTr="006B68C6">
        <w:trPr>
          <w:trHeight w:val="78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"Развитие  массового спорта". Из 2 индикаторов все исполнены. </w:t>
            </w:r>
          </w:p>
        </w:tc>
      </w:tr>
      <w:tr w:rsidR="003B6ED4" w:rsidRPr="003B6ED4" w:rsidTr="006B68C6">
        <w:trPr>
          <w:trHeight w:val="49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"Обеспечение развития государственного языка и повышения уровня владения иностранными языками". Из 3 индикаторов все исполнены.</w:t>
            </w:r>
          </w:p>
        </w:tc>
      </w:tr>
      <w:tr w:rsidR="003B6ED4" w:rsidRPr="003B6ED4" w:rsidTr="006B68C6">
        <w:trPr>
          <w:trHeight w:val="156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"Обеспечение единства нации и  укрепление межэтнического и межконфессионального согласия". Предусмотрен 1 индикатор, выполнен.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"Обеспечение надежного правопорядка на улицах и безопасности дорожного движения": из 5 предусмотренных индикаторов достигнуты 2, по 3-м наблюдается неисполнение (удельный вес преступлений, совершенных на улицах; удельный вес преступлений, совершенных ранее совершавшими; снижение числа погибших в ДТП). </w:t>
            </w:r>
            <w:proofErr w:type="gramEnd"/>
          </w:p>
        </w:tc>
      </w:tr>
      <w:tr w:rsidR="003B6ED4" w:rsidRPr="003B6ED4" w:rsidTr="006B68C6">
        <w:trPr>
          <w:trHeight w:val="93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Причины неисполнения: 1) усиление работы по выявлению преступлений и полнота их учета; 2) нахождение в городе исправительных учреждений; 3) увеличение количества автотранспортных средств, высокая загруженность автомобильных дорог. Для улучшения показателей проводится работа по трудоустройству лиц, освободившихся из мест лишения свободы, усиление работы местной полицейской службы, установка видеокамер.</w:t>
            </w:r>
          </w:p>
        </w:tc>
      </w:tr>
      <w:tr w:rsidR="003B6ED4" w:rsidRPr="003B6ED4" w:rsidTr="006B68C6">
        <w:trPr>
          <w:trHeight w:val="284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Проведение целенаправленных оперативно-профилактических  мероприятий позволило снизить уровень преступности на 5,9% (с 9 365 до 8 808 преступлений), одновременно с этим повысить раскрываемость преступлений средней тяжести на 2,4% (с 44,4% до 46,8%), грабежей –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3,3% (с 76,5% до 79,8%).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ходе реализации принципа «нулевой терпимости» участковыми инспекторами полиции местной полицейской службы было выявлено и  пресечено  21,7 тысяч административных правонарушений.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Снизилось на 15,6% количество дорожно-транспортных происшествий. Для улучшения пропускной способности развязок начато строительство надземного пешеходного перехода на пересечении пр. Независимости и пр. Абая. Установлены светофорные объекты на 7-ми перекрестках города, в 5-ти местах - светодиодные дорожные знаки на нерегулируемых пешеходных переходах.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 "Обеспечение защищенности территорий от негативных чрезвычайных ситуаций": предусмотрен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достигнут 1 индикатор (Уровень обеспеченности инфраструктуры противодействия чрезвычайных ситуаций). Для улучшения показателя запланирована организ</w:t>
            </w:r>
            <w:r w:rsidR="009E56A3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ация пожарного поста в с. </w:t>
            </w:r>
            <w:proofErr w:type="gramStart"/>
            <w:r w:rsidR="009E56A3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Ново-Т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роицкое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54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"Обеспечение населения доступными и качественными услугами связи": из запланированных 3 индикаторов 1 достигнут, по 2-м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статотчетность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разрезе городов и районов не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сформирована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6ED4" w:rsidRPr="003B6ED4" w:rsidTr="006B68C6">
        <w:trPr>
          <w:trHeight w:val="66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"Содействие эффективному развитию строительной отрасли и обеспечение доступным жильем населения". Предусмотрен 1 индикатор, достигнут.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6B68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январь-декабрь 2017 года объем строительных работ составил 74 млрд. тенге, темп роста 197,4% к 2016 году. Доля строительных работ в инвестициях составила 64,1%.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По итогам прошлого года объем ввода жилья составил 202,1 тыс.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темп роста – 111,2% к 2016 году. Введено в эксплуатацию 14 многоэтажных жилых домов площадью 165,9 тыс. кв. м., в том числе по госпрограмме  7 домов площадью 75,7 тыс. кв. м. и ИЖС 36,2 тыс.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B6ED4" w:rsidRPr="003B6ED4" w:rsidTr="006B68C6">
        <w:trPr>
          <w:trHeight w:val="60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 "Развитие инфраструктуры автодорожной отрасли и обеспечение транспортной связи между населенными пунктами". Из 2 индикаторов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выполнены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        </w:t>
            </w:r>
          </w:p>
        </w:tc>
      </w:tr>
      <w:tr w:rsidR="003B6ED4" w:rsidRPr="003B6ED4" w:rsidTr="006B68C6">
        <w:trPr>
          <w:trHeight w:val="90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2017 году на средний ремонт улиц и дорог было выделено 1,5 млрд. тенге. Отремонтировано 20 участков протяженностью 23,5 км, из них на 14 участках протяженностью 19,2 км с применением современной технологии покрытия. Ямочный ремонт на сумму 214,3 млн. тенге был проведен на 70 тыс. м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дорожного покрытия. Начаты работы по реконструкции 6-ти центральных дорог и улиц.</w:t>
            </w:r>
          </w:p>
        </w:tc>
      </w:tr>
      <w:tr w:rsidR="003B6ED4" w:rsidRPr="003B6ED4" w:rsidTr="006B68C6">
        <w:trPr>
          <w:trHeight w:val="3546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местного бюджета в 2018 году выделено почти 5 млрд. тенге, которые будут направлены на реализацию следующих проектов: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проспекта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К.Сатпаева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улицы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Жибек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Жолы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проспекта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К.Маркса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автомобильной дороги от моста через реку Иртыш в районе о.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Лопатино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Ахмирово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автомобильной дороги Усть-Каменогорск - Семей от село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Меновное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село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Ахмирово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улицы Астана от пр. Независимости до ул. Потанина;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Мемориала Славы до моста через реку Ульбу в створе ул. Орджоникидзе;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улицы набережной им. Е.П. Славского от пр. </w:t>
            </w:r>
            <w:proofErr w:type="spellStart"/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Мемориала Славы;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надземный пешеходный переход на пересечении проспекта Независимости и проспекта Абая;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улицы Вешний переулок;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ул. Мызы от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ул. Казахстан;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реконструкция перекрестков с устройством правосторонних поворотов в городе Усть-Каменогорске ВКО (перекресток ул. Мызы -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Протозанова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перекресток пр.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Ауэзова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-ул.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Орджоникидзе и перекресток ул. Бажова - ул. Рабочая).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Продолжатся работы по реконструкции моста через реку Иртыш в створе улицы Казахстан.</w:t>
            </w:r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"Обеспечение населения качественными коммунальными услугами в населенных пунктах": из 18 индикаторов обеспечено выполнение по 16-ти, по 2-м плановые значения на 2017 год не предусмотрены (протяженность построенных сетей водоотведения в сельских территориях, доля модернизированных сетей электроснабжения).</w:t>
            </w:r>
          </w:p>
        </w:tc>
      </w:tr>
      <w:tr w:rsidR="003B6ED4" w:rsidRPr="003B6ED4" w:rsidTr="006B68C6">
        <w:trPr>
          <w:trHeight w:val="3543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прошлом году завершены работы по программе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Нұрлы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по трем объектам: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«Строительство магистральных сетей от котельной № 2 до 19 жилого района г. Усть-Каменогорска»;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насосной станции по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Лениногорская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городе Усть-Каменогорск»;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«Теплоснабжение поселка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Ульбинский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города Усть-Каменогорска ВКО. Корректировка».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Также в рамках программы «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Нурлы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в 2017 году были выделены средства на реализацию 2-х проектов: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Северо-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Атамановского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Нижне-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Согринского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водозаборов в г. Усть-Каменогорске (2 очередь)». Срок завершения работ – декабрь 2018 года;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канализационного коллектора к КНС № 30 (бестраншейным способом) по ул.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Байбатчина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Усть-Каменогорске». Объект введен в эксплуатацию в ноябре 2017 года.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Завершена реализация 2-х проектов по водоснабжению и водоотведению города: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ограждения зоны санитарной охраны водозабора п.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Солнечный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г. Усть-Каменогорске»;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«Развитие очистных сооружений канализации города Усть-Каменогорска, ВКО». </w:t>
            </w:r>
          </w:p>
        </w:tc>
      </w:tr>
      <w:tr w:rsidR="003B6ED4" w:rsidRPr="003B6ED4" w:rsidTr="00FD57D8">
        <w:trPr>
          <w:trHeight w:val="566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Запланирована реализация следующих инвестиционных проектов, направленных на повышение уровня обеспеченности жителей централизованным водоснабжением и водоотведением: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сетей водоснабжения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Меновное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очередь)», проектом предусмотрена реконструкция 14,1 км сетей водоснабжения.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«Реконструкция сетей водоснабжения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Ахмирово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(2 очередь)», срок реализации 2017-2019 годы. Проектом предусмотрена реконструкция 34,9 км сетей водоснабжения.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- «Строительство сетей канализации с. </w:t>
            </w:r>
            <w:proofErr w:type="spell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Меновное</w:t>
            </w:r>
            <w:proofErr w:type="spell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срок реализации 2017-2019 годы. Проектом предусмотрено строительство 26,9 км сетей канализации. 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- «Реконструкция сетей водоснабжения п. Северный», срок реализации 2017-2019 годы. Проектом предусмотрена реконструкция 2,977 км сетей водоснабжения.</w:t>
            </w:r>
          </w:p>
        </w:tc>
      </w:tr>
      <w:tr w:rsidR="003B6ED4" w:rsidRPr="003B6ED4" w:rsidTr="006B68C6">
        <w:trPr>
          <w:trHeight w:val="121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Цель: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"Совершенствование системы сбора, переработки и утилизации твердых бытовых отходов": из 3 индикаторов 2 не выполнены (охват населения услугами по сбору и транспортировке отходов, доля объектов ТБО, соответствующих санитарным нормам.</w:t>
            </w:r>
            <w:proofErr w:type="gramEnd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Причины не достижения: увеличение накоплений ТБО, рост числа несанкционированных свалок. Для улучшения показателей увеличены нормы накопления ТБО, ведется работа по заключению договоров на вывоз мусора с полным охватом населения и юридических лиц, отрабатывается вопрос по раздельному сбору ТБО и его частичной переработкой.                                                                                              </w:t>
            </w:r>
          </w:p>
        </w:tc>
      </w:tr>
      <w:tr w:rsidR="003B6ED4" w:rsidRPr="003B6ED4" w:rsidTr="006B68C6">
        <w:trPr>
          <w:trHeight w:val="305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"Вовлечение в сельскохозяйственный оборот земель сельскохозяйственного назначения" из 3 целевых индикаторов исполнено 3.</w:t>
            </w:r>
          </w:p>
        </w:tc>
      </w:tr>
      <w:tr w:rsidR="003B6ED4" w:rsidRPr="003B6ED4" w:rsidTr="006B68C6">
        <w:trPr>
          <w:trHeight w:val="78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"Снижение  выбросов в окружающую среду" предусмотрен 1 индикатор, выполнен.</w:t>
            </w:r>
          </w:p>
        </w:tc>
      </w:tr>
      <w:tr w:rsidR="003B6ED4" w:rsidRPr="003B6ED4" w:rsidTr="006B68C6">
        <w:trPr>
          <w:trHeight w:val="45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proofErr w:type="gramStart"/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"Повышение доступности государственных услуг для граждан и организаций": достигнуты 2 запланированных индикатора               </w:t>
            </w:r>
            <w:proofErr w:type="gramEnd"/>
          </w:p>
        </w:tc>
      </w:tr>
      <w:tr w:rsidR="003B6ED4" w:rsidRPr="003B6ED4" w:rsidTr="006B68C6">
        <w:trPr>
          <w:trHeight w:val="780"/>
        </w:trPr>
        <w:tc>
          <w:tcPr>
            <w:tcW w:w="1568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6ED4" w:rsidRPr="006B68C6" w:rsidRDefault="003B6ED4" w:rsidP="009E56A3">
            <w:pPr>
              <w:spacing w:after="0" w:line="240" w:lineRule="auto"/>
              <w:ind w:firstLine="74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итогам 2017 года большая часть индикаторов и мероприятий Программы выполнены. Администраторами бюджетных программ и отве</w:t>
            </w:r>
            <w:r w:rsidR="00C47159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ственными исполнителя</w:t>
            </w:r>
            <w:r w:rsidR="00C47159"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6B6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принимаются все необходимые меры для ликвидации и снижения влияния негативных факторов внешнего воздействия и улучшения межведомственного взаимодействия для достижения поставленных целей и задач на 2018 год. </w:t>
            </w: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420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Аким города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420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Усть-Каменогорска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Тумабаев</w:t>
            </w:r>
            <w:proofErr w:type="spellEnd"/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A0A42" w:rsidRPr="003B6ED4" w:rsidRDefault="00EA0A42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B6ED4" w:rsidRPr="003B6ED4" w:rsidTr="006B68C6">
        <w:trPr>
          <w:trHeight w:val="390"/>
        </w:trPr>
        <w:tc>
          <w:tcPr>
            <w:tcW w:w="3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Исп.: </w:t>
            </w:r>
            <w:proofErr w:type="spellStart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>Ухоботова</w:t>
            </w:r>
            <w:proofErr w:type="spellEnd"/>
            <w:r w:rsidRPr="003B6ED4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  <w:t xml:space="preserve"> Е., т. 263615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6ED4" w:rsidRPr="003B6ED4" w:rsidRDefault="003B6ED4" w:rsidP="003B6ED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E3932" w:rsidRPr="003B6ED4" w:rsidRDefault="003E3932">
      <w:pPr>
        <w:rPr>
          <w:sz w:val="24"/>
          <w:szCs w:val="24"/>
        </w:rPr>
      </w:pPr>
    </w:p>
    <w:sectPr w:rsidR="003E3932" w:rsidRPr="003B6ED4" w:rsidSect="003B6ED4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67"/>
    <w:rsid w:val="003B6ED4"/>
    <w:rsid w:val="003E3932"/>
    <w:rsid w:val="005751D9"/>
    <w:rsid w:val="00660515"/>
    <w:rsid w:val="006B68C6"/>
    <w:rsid w:val="00984A20"/>
    <w:rsid w:val="009E56A3"/>
    <w:rsid w:val="00BA0A1B"/>
    <w:rsid w:val="00C47159"/>
    <w:rsid w:val="00C72159"/>
    <w:rsid w:val="00E174C5"/>
    <w:rsid w:val="00EA0A42"/>
    <w:rsid w:val="00EC4B5E"/>
    <w:rsid w:val="00F05D67"/>
    <w:rsid w:val="00FD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6ED4"/>
    <w:rPr>
      <w:color w:val="954F72"/>
      <w:u w:val="single"/>
    </w:rPr>
  </w:style>
  <w:style w:type="paragraph" w:customStyle="1" w:styleId="font5">
    <w:name w:val="font5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font6">
    <w:name w:val="font6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0">
    <w:name w:val="xl70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2">
    <w:name w:val="xl72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4">
    <w:name w:val="xl7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3">
    <w:name w:val="xl83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4">
    <w:name w:val="xl8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5">
    <w:name w:val="xl85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6">
    <w:name w:val="xl8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7">
    <w:name w:val="xl8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8">
    <w:name w:val="xl8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9">
    <w:name w:val="xl8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0">
    <w:name w:val="xl9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1">
    <w:name w:val="xl9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2">
    <w:name w:val="xl9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3">
    <w:name w:val="xl9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5">
    <w:name w:val="xl9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7">
    <w:name w:val="xl9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98">
    <w:name w:val="xl9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9">
    <w:name w:val="xl9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1">
    <w:name w:val="xl10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2">
    <w:name w:val="xl10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3">
    <w:name w:val="xl10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4">
    <w:name w:val="xl10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5">
    <w:name w:val="xl10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6">
    <w:name w:val="xl10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7">
    <w:name w:val="xl10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8">
    <w:name w:val="xl10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9">
    <w:name w:val="xl10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0">
    <w:name w:val="xl11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1">
    <w:name w:val="xl11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2">
    <w:name w:val="xl11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0"/>
      <w:szCs w:val="30"/>
      <w:lang w:eastAsia="ru-RU"/>
    </w:rPr>
  </w:style>
  <w:style w:type="paragraph" w:customStyle="1" w:styleId="xl115">
    <w:name w:val="xl11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6">
    <w:name w:val="xl11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7">
    <w:name w:val="xl11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8">
    <w:name w:val="xl11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9">
    <w:name w:val="xl11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1">
    <w:name w:val="xl12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2">
    <w:name w:val="xl12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24">
    <w:name w:val="xl12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6">
    <w:name w:val="xl126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9">
    <w:name w:val="xl12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0">
    <w:name w:val="xl13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1">
    <w:name w:val="xl131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2">
    <w:name w:val="xl13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3">
    <w:name w:val="xl13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4">
    <w:name w:val="xl13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6">
    <w:name w:val="xl13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7">
    <w:name w:val="xl137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8">
    <w:name w:val="xl138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9">
    <w:name w:val="xl139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0">
    <w:name w:val="xl14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1">
    <w:name w:val="xl14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2">
    <w:name w:val="xl14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5">
    <w:name w:val="xl14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6">
    <w:name w:val="xl146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7">
    <w:name w:val="xl147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8">
    <w:name w:val="xl14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9">
    <w:name w:val="xl14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0">
    <w:name w:val="xl15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1">
    <w:name w:val="xl15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2">
    <w:name w:val="xl152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4">
    <w:name w:val="xl15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5">
    <w:name w:val="xl155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6">
    <w:name w:val="xl156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57">
    <w:name w:val="xl157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8">
    <w:name w:val="xl158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9">
    <w:name w:val="xl159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2">
    <w:name w:val="xl16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63">
    <w:name w:val="xl16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4">
    <w:name w:val="xl16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65">
    <w:name w:val="xl16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6">
    <w:name w:val="xl16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7">
    <w:name w:val="xl16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8">
    <w:name w:val="xl16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69">
    <w:name w:val="xl16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0">
    <w:name w:val="xl17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1">
    <w:name w:val="xl17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2">
    <w:name w:val="xl17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73">
    <w:name w:val="xl173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75">
    <w:name w:val="xl175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188">
    <w:name w:val="xl188"/>
    <w:basedOn w:val="a"/>
    <w:rsid w:val="003B6E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189">
    <w:name w:val="xl189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1">
    <w:name w:val="xl191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3B6E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4">
    <w:name w:val="xl20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5">
    <w:name w:val="xl205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6">
    <w:name w:val="xl206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9">
    <w:name w:val="xl209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11">
    <w:name w:val="xl21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12">
    <w:name w:val="xl21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B6E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22">
    <w:name w:val="xl22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2">
    <w:name w:val="xl23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5">
    <w:name w:val="xl235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6">
    <w:name w:val="xl236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7">
    <w:name w:val="xl237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8">
    <w:name w:val="xl238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239">
    <w:name w:val="xl239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240">
    <w:name w:val="xl240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1">
    <w:name w:val="xl24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2">
    <w:name w:val="xl24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3">
    <w:name w:val="xl24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4">
    <w:name w:val="xl24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5">
    <w:name w:val="xl24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3B6E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9">
    <w:name w:val="xl249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50">
    <w:name w:val="xl25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51">
    <w:name w:val="xl251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6ED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B6ED4"/>
    <w:rPr>
      <w:color w:val="954F72"/>
      <w:u w:val="single"/>
    </w:rPr>
  </w:style>
  <w:style w:type="paragraph" w:customStyle="1" w:styleId="font5">
    <w:name w:val="font5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30"/>
      <w:szCs w:val="30"/>
      <w:lang w:eastAsia="ru-RU"/>
    </w:rPr>
  </w:style>
  <w:style w:type="paragraph" w:customStyle="1" w:styleId="font6">
    <w:name w:val="font6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nt7">
    <w:name w:val="font7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font9">
    <w:name w:val="font9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0">
    <w:name w:val="xl70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2">
    <w:name w:val="xl72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74">
    <w:name w:val="xl7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6">
    <w:name w:val="xl76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78">
    <w:name w:val="xl78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79">
    <w:name w:val="xl79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80">
    <w:name w:val="xl80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81">
    <w:name w:val="xl81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3">
    <w:name w:val="xl83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4">
    <w:name w:val="xl8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85">
    <w:name w:val="xl85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6">
    <w:name w:val="xl8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7">
    <w:name w:val="xl8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8">
    <w:name w:val="xl8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9">
    <w:name w:val="xl8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0">
    <w:name w:val="xl9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1">
    <w:name w:val="xl9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2">
    <w:name w:val="xl9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3">
    <w:name w:val="xl9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5">
    <w:name w:val="xl9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97">
    <w:name w:val="xl9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98">
    <w:name w:val="xl9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99">
    <w:name w:val="xl9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1">
    <w:name w:val="xl10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2">
    <w:name w:val="xl10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3">
    <w:name w:val="xl10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04">
    <w:name w:val="xl10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5">
    <w:name w:val="xl10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6">
    <w:name w:val="xl10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7">
    <w:name w:val="xl10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8">
    <w:name w:val="xl10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09">
    <w:name w:val="xl10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0">
    <w:name w:val="xl11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1">
    <w:name w:val="xl11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2">
    <w:name w:val="xl11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13">
    <w:name w:val="xl11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30"/>
      <w:szCs w:val="30"/>
      <w:lang w:eastAsia="ru-RU"/>
    </w:rPr>
  </w:style>
  <w:style w:type="paragraph" w:customStyle="1" w:styleId="xl115">
    <w:name w:val="xl11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6">
    <w:name w:val="xl11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7">
    <w:name w:val="xl11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8">
    <w:name w:val="xl11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19">
    <w:name w:val="xl11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1">
    <w:name w:val="xl12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2">
    <w:name w:val="xl12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24">
    <w:name w:val="xl12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6">
    <w:name w:val="xl126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29">
    <w:name w:val="xl12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0">
    <w:name w:val="xl13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31">
    <w:name w:val="xl131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2">
    <w:name w:val="xl13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3">
    <w:name w:val="xl13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4">
    <w:name w:val="xl13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6">
    <w:name w:val="xl13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7">
    <w:name w:val="xl137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38">
    <w:name w:val="xl138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39">
    <w:name w:val="xl139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0">
    <w:name w:val="xl14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1">
    <w:name w:val="xl14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2">
    <w:name w:val="xl14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5">
    <w:name w:val="xl145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6">
    <w:name w:val="xl146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7">
    <w:name w:val="xl147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8">
    <w:name w:val="xl14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49">
    <w:name w:val="xl14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0">
    <w:name w:val="xl15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1">
    <w:name w:val="xl15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2">
    <w:name w:val="xl152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4">
    <w:name w:val="xl15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5">
    <w:name w:val="xl155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6">
    <w:name w:val="xl156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57">
    <w:name w:val="xl157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8">
    <w:name w:val="xl158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59">
    <w:name w:val="xl159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61">
    <w:name w:val="xl161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2">
    <w:name w:val="xl16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163">
    <w:name w:val="xl16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4">
    <w:name w:val="xl16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30"/>
      <w:szCs w:val="30"/>
      <w:lang w:eastAsia="ru-RU"/>
    </w:rPr>
  </w:style>
  <w:style w:type="paragraph" w:customStyle="1" w:styleId="xl165">
    <w:name w:val="xl16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6">
    <w:name w:val="xl16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7">
    <w:name w:val="xl16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68">
    <w:name w:val="xl16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69">
    <w:name w:val="xl16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0">
    <w:name w:val="xl17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1">
    <w:name w:val="xl17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172">
    <w:name w:val="xl17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173">
    <w:name w:val="xl173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74">
    <w:name w:val="xl174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4"/>
      <w:szCs w:val="44"/>
      <w:lang w:eastAsia="ru-RU"/>
    </w:rPr>
  </w:style>
  <w:style w:type="paragraph" w:customStyle="1" w:styleId="xl175">
    <w:name w:val="xl175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8">
    <w:name w:val="xl178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79">
    <w:name w:val="xl17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2">
    <w:name w:val="xl18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85">
    <w:name w:val="xl185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6">
    <w:name w:val="xl186"/>
    <w:basedOn w:val="a"/>
    <w:rsid w:val="003B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87">
    <w:name w:val="xl187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188">
    <w:name w:val="xl188"/>
    <w:basedOn w:val="a"/>
    <w:rsid w:val="003B6ED4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paragraph" w:customStyle="1" w:styleId="xl189">
    <w:name w:val="xl189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90">
    <w:name w:val="xl190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32"/>
      <w:szCs w:val="32"/>
      <w:lang w:eastAsia="ru-RU"/>
    </w:rPr>
  </w:style>
  <w:style w:type="paragraph" w:customStyle="1" w:styleId="xl191">
    <w:name w:val="xl191"/>
    <w:basedOn w:val="a"/>
    <w:rsid w:val="003B6E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2">
    <w:name w:val="xl192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3">
    <w:name w:val="xl193"/>
    <w:basedOn w:val="a"/>
    <w:rsid w:val="003B6ED4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194">
    <w:name w:val="xl194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95">
    <w:name w:val="xl19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1">
    <w:name w:val="xl20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2">
    <w:name w:val="xl20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3">
    <w:name w:val="xl203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4">
    <w:name w:val="xl20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5">
    <w:name w:val="xl205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6">
    <w:name w:val="xl206"/>
    <w:basedOn w:val="a"/>
    <w:rsid w:val="003B6ED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07">
    <w:name w:val="xl20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08">
    <w:name w:val="xl20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09">
    <w:name w:val="xl209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10">
    <w:name w:val="xl210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11">
    <w:name w:val="xl21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12">
    <w:name w:val="xl212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3B6E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222">
    <w:name w:val="xl22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30">
    <w:name w:val="xl230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1">
    <w:name w:val="xl231"/>
    <w:basedOn w:val="a"/>
    <w:rsid w:val="003B6ED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232">
    <w:name w:val="xl232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234">
    <w:name w:val="xl234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5">
    <w:name w:val="xl235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6">
    <w:name w:val="xl236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7">
    <w:name w:val="xl237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38">
    <w:name w:val="xl238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239">
    <w:name w:val="xl239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30"/>
      <w:szCs w:val="30"/>
      <w:lang w:eastAsia="ru-RU"/>
    </w:rPr>
  </w:style>
  <w:style w:type="paragraph" w:customStyle="1" w:styleId="xl240">
    <w:name w:val="xl240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1">
    <w:name w:val="xl241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2">
    <w:name w:val="xl24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3">
    <w:name w:val="xl24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4">
    <w:name w:val="xl24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5">
    <w:name w:val="xl245"/>
    <w:basedOn w:val="a"/>
    <w:rsid w:val="003B6E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3B6E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3B6E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3B6E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49">
    <w:name w:val="xl249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50">
    <w:name w:val="xl250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251">
    <w:name w:val="xl251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3B6E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3B6E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2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80</Pages>
  <Words>16777</Words>
  <Characters>95632</Characters>
  <Application>Microsoft Office Word</Application>
  <DocSecurity>0</DocSecurity>
  <Lines>796</Lines>
  <Paragraphs>224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2018-02-14T08:41:00Z</dcterms:created>
  <dcterms:modified xsi:type="dcterms:W3CDTF">2018-02-14T09:11:00Z</dcterms:modified>
</cp:coreProperties>
</file>